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PRESENTATION TRANSVERSALE</w:t>
      </w:r>
      <w:r>
        <w:rPr/>
        <w:br/>
        <w:t>DIAGNOSTIC - TRAITEMENT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15"/>
        </w:numPr>
      </w:pPr>
      <w:r>
        <w:rPr/>
        <w:t>Enumérer les signes cliniques</w:t>
      </w:r>
    </w:p>
    <w:p>
      <w:pPr>
        <w:numPr>
          <w:ilvl w:val="0"/>
          <w:numId w:val="15"/>
        </w:numPr>
      </w:pPr>
      <w:r>
        <w:rPr/>
        <w:t>Poser le diagnostic d’une PT en fin de grossesse</w:t>
      </w:r>
    </w:p>
    <w:p>
      <w:pPr>
        <w:numPr>
          <w:ilvl w:val="0"/>
          <w:numId w:val="15"/>
        </w:numPr>
      </w:pPr>
      <w:r>
        <w:rPr/>
        <w:t>Décrire la conduite à tenir devant une PT</w:t>
      </w:r>
    </w:p>
    <w:p>
      <w:pPr/>
    </w:p>
    <w:p>
      <w:pPr>
        <w:pStyle w:val="Heading2"/>
      </w:pPr>
      <w:r>
        <w:rPr/>
        <w:t>GENERALITES</w:t>
      </w:r>
    </w:p>
    <w:p>
      <w:pPr>
        <w:numPr>
          <w:ilvl w:val="0"/>
          <w:numId w:val="16"/>
        </w:numPr>
      </w:pPr>
      <w:r>
        <w:rPr/>
        <w:t xml:space="preserve">PT ou présentation de l’épaule est une présentation dans laquelle le grand axe du </w:t>
      </w:r>
      <w:r>
        <w:rPr/>
        <w:t>fœtus</w:t>
      </w:r>
      <w:r>
        <w:rPr/>
        <w:t xml:space="preserve"> est perpendiculaire au grand axe maternel</w:t>
      </w:r>
    </w:p>
    <w:p>
      <w:pPr>
        <w:numPr>
          <w:ilvl w:val="0"/>
          <w:numId w:val="16"/>
        </w:numPr>
      </w:pPr>
      <w:r>
        <w:rPr/>
        <w:t xml:space="preserve">Les extrémités </w:t>
      </w:r>
      <w:r>
        <w:rPr/>
        <w:t>fœtales</w:t>
      </w:r>
      <w:r>
        <w:rPr/>
        <w:t xml:space="preserve"> se placent dans les fosses iliaques (</w:t>
      </w:r>
      <w:r>
        <w:rPr>
          <w:i/>
        </w:rPr>
        <w:t>de part et d’autre du détroit supérieur)</w:t>
      </w:r>
    </w:p>
    <w:p>
      <w:pPr>
        <w:numPr>
          <w:ilvl w:val="0"/>
          <w:numId w:val="16"/>
        </w:numPr>
      </w:pPr>
      <w:r>
        <w:rPr/>
        <w:t>L’épaule, le dos, ou le ventre se met en contact du détroit supérieur</w:t>
      </w:r>
    </w:p>
    <w:p>
      <w:pPr>
        <w:numPr>
          <w:ilvl w:val="0"/>
          <w:numId w:val="16"/>
        </w:numPr>
      </w:pPr>
      <w:r>
        <w:rPr/>
        <w:t>0,25 à 0,5 % des accouchements</w:t>
      </w:r>
    </w:p>
    <w:p>
      <w:pPr>
        <w:numPr>
          <w:ilvl w:val="0"/>
          <w:numId w:val="16"/>
        </w:numPr>
      </w:pPr>
      <w:r>
        <w:rPr/>
        <w:t>Grave</w:t>
      </w:r>
    </w:p>
    <w:p>
      <w:pPr>
        <w:numPr>
          <w:ilvl w:val="0"/>
          <w:numId w:val="16"/>
        </w:numPr>
      </w:pPr>
      <w:r>
        <w:rPr/>
        <w:t>Grande urgence en obstétrique si la patiente est en travail</w:t>
      </w:r>
    </w:p>
    <w:p>
      <w:pPr>
        <w:numPr>
          <w:ilvl w:val="0"/>
          <w:numId w:val="16"/>
        </w:numPr>
      </w:pPr>
      <w:r>
        <w:rPr/>
        <w:t>La consultation prénatale diminue la PT pendant le travail</w:t>
      </w:r>
    </w:p>
    <w:p>
      <w:pPr/>
    </w:p>
    <w:p>
      <w:pPr>
        <w:pStyle w:val="Heading2"/>
      </w:pPr>
      <w:r>
        <w:rPr/>
        <w:t>DIAGNOSTIC POSITIF</w:t>
      </w:r>
    </w:p>
    <w:p>
      <w:pPr>
        <w:pStyle w:val="Heading3"/>
      </w:pPr>
      <w:r>
        <w:rPr/>
        <w:t>Signes cliniques :</w:t>
      </w:r>
    </w:p>
    <w:p>
      <w:pPr>
        <w:pStyle w:val="Heading4"/>
      </w:pPr>
      <w:r>
        <w:rPr/>
        <w:t>Pendant la grossesse</w:t>
      </w:r>
    </w:p>
    <w:p>
      <w:pPr>
        <w:numPr>
          <w:ilvl w:val="2"/>
          <w:numId w:val="17"/>
        </w:numPr>
      </w:pPr>
      <w:r>
        <w:rPr>
          <w:b/>
        </w:rPr>
        <w:t>Inspection</w:t>
      </w:r>
    </w:p>
    <w:p>
      <w:pPr>
        <w:numPr>
          <w:ilvl w:val="3"/>
          <w:numId w:val="17"/>
        </w:numPr>
      </w:pPr>
      <w:r>
        <w:rPr/>
        <w:t>Utérus se développant dans le sens transversal</w:t>
      </w:r>
    </w:p>
    <w:p>
      <w:pPr>
        <w:numPr>
          <w:ilvl w:val="2"/>
          <w:numId w:val="17"/>
        </w:numPr>
      </w:pPr>
      <w:r>
        <w:rPr>
          <w:b/>
        </w:rPr>
        <w:t>Palpation</w:t>
      </w:r>
    </w:p>
    <w:p>
      <w:pPr>
        <w:numPr>
          <w:ilvl w:val="3"/>
          <w:numId w:val="17"/>
        </w:numPr>
      </w:pPr>
      <w:r>
        <w:rPr/>
        <w:t xml:space="preserve">Pôles </w:t>
      </w:r>
      <w:r>
        <w:rPr/>
        <w:t>fœtaux</w:t>
      </w:r>
      <w:r>
        <w:rPr/>
        <w:t xml:space="preserve"> perçus latéralement dans les fosses iliaques ou dans le flanc</w:t>
      </w:r>
    </w:p>
    <w:p>
      <w:pPr>
        <w:numPr>
          <w:ilvl w:val="3"/>
          <w:numId w:val="17"/>
        </w:numPr>
      </w:pPr>
      <w:r>
        <w:rPr/>
        <w:t>Paroi abdominale dépressible, membres perçus</w:t>
      </w:r>
    </w:p>
    <w:p>
      <w:pPr>
        <w:numPr>
          <w:ilvl w:val="2"/>
          <w:numId w:val="17"/>
        </w:numPr>
      </w:pPr>
      <w:r>
        <w:rPr>
          <w:b/>
        </w:rPr>
        <w:t>Mensuration :</w:t>
      </w:r>
      <w:r>
        <w:rPr/>
        <w:t xml:space="preserve"> Hauteur utérine diminuée </w:t>
      </w:r>
      <w:r>
        <w:rPr>
          <w:i/>
        </w:rPr>
        <w:t>par rapport à l’âge présumée de la grossesse</w:t>
      </w:r>
    </w:p>
    <w:p>
      <w:pPr>
        <w:numPr>
          <w:ilvl w:val="2"/>
          <w:numId w:val="17"/>
        </w:numPr>
      </w:pPr>
      <w:r>
        <w:rPr>
          <w:b/>
        </w:rPr>
        <w:t>Auscultation :</w:t>
      </w:r>
    </w:p>
    <w:p>
      <w:pPr>
        <w:numPr>
          <w:ilvl w:val="3"/>
          <w:numId w:val="17"/>
        </w:numPr>
      </w:pPr>
      <w:r>
        <w:rPr/>
        <w:t>Bruits du coeur foetaux dans la région péri-ombilicale du côté de la tête foetale</w:t>
      </w:r>
    </w:p>
    <w:p>
      <w:pPr>
        <w:numPr>
          <w:ilvl w:val="2"/>
          <w:numId w:val="17"/>
        </w:numPr>
      </w:pPr>
      <w:r>
        <w:rPr>
          <w:b/>
        </w:rPr>
        <w:t>Toucher vaginal :</w:t>
      </w:r>
    </w:p>
    <w:p>
      <w:pPr>
        <w:numPr>
          <w:ilvl w:val="3"/>
          <w:numId w:val="17"/>
        </w:numPr>
      </w:pPr>
      <w:r>
        <w:rPr/>
        <w:t>Présentation haute, excavation vide</w:t>
      </w:r>
    </w:p>
    <w:p>
      <w:pPr>
        <w:pStyle w:val="Heading4"/>
      </w:pPr>
      <w:r>
        <w:rPr/>
        <w:t xml:space="preserve">Pendant </w:t>
      </w:r>
      <w:r>
        <w:rPr/>
        <w:t>le</w:t>
      </w:r>
      <w:r>
        <w:rPr/>
        <w:t xml:space="preserve"> travail :</w:t>
      </w:r>
    </w:p>
    <w:p>
      <w:pPr>
        <w:numPr>
          <w:ilvl w:val="2"/>
          <w:numId w:val="17"/>
        </w:numPr>
      </w:pPr>
      <w:r>
        <w:rPr>
          <w:b/>
        </w:rPr>
        <w:t>Membranes intactes :</w:t>
      </w:r>
    </w:p>
    <w:p>
      <w:pPr>
        <w:numPr>
          <w:ilvl w:val="3"/>
          <w:numId w:val="17"/>
        </w:numPr>
      </w:pPr>
      <w:r>
        <w:rPr/>
        <w:t>Présentation haute, perçue à bout de doigt</w:t>
      </w:r>
    </w:p>
    <w:p>
      <w:pPr>
        <w:numPr>
          <w:ilvl w:val="2"/>
          <w:numId w:val="17"/>
        </w:numPr>
      </w:pPr>
      <w:r>
        <w:rPr>
          <w:b/>
        </w:rPr>
        <w:t xml:space="preserve">Membranes rompues : </w:t>
      </w:r>
      <w:r>
        <w:rPr/>
        <w:t>repérer</w:t>
      </w:r>
      <w:r>
        <w:rPr/>
        <w:t xml:space="preserve"> les différentes structures :</w:t>
      </w:r>
    </w:p>
    <w:p>
      <w:pPr>
        <w:numPr>
          <w:ilvl w:val="3"/>
          <w:numId w:val="17"/>
        </w:numPr>
      </w:pPr>
      <w:r>
        <w:rPr/>
        <w:t>Moignon de l’épaule, l’acromion, la main, le poignet, le creux axillaire, le gril costal</w:t>
      </w:r>
    </w:p>
    <w:p>
      <w:pPr>
        <w:pStyle w:val="Heading4"/>
      </w:pPr>
      <w:r>
        <w:rPr/>
        <w:t>Examens paracliniques :</w:t>
      </w:r>
    </w:p>
    <w:p>
      <w:pPr>
        <w:numPr>
          <w:ilvl w:val="2"/>
          <w:numId w:val="17"/>
        </w:numPr>
      </w:pPr>
      <w:r>
        <w:rPr>
          <w:b/>
        </w:rPr>
        <w:t>Echographie :</w:t>
      </w:r>
    </w:p>
    <w:p>
      <w:pPr>
        <w:numPr>
          <w:ilvl w:val="3"/>
          <w:numId w:val="17"/>
        </w:numPr>
      </w:pPr>
      <w:r>
        <w:rPr/>
        <w:t>Confirme le diagnostic</w:t>
      </w:r>
    </w:p>
    <w:p>
      <w:pPr>
        <w:numPr>
          <w:ilvl w:val="3"/>
          <w:numId w:val="17"/>
        </w:numPr>
      </w:pPr>
      <w:r>
        <w:rPr/>
        <w:t>Détermine la cause</w:t>
      </w:r>
    </w:p>
    <w:p>
      <w:pPr>
        <w:numPr>
          <w:ilvl w:val="2"/>
          <w:numId w:val="17"/>
        </w:numPr>
      </w:pPr>
      <w:r>
        <w:rPr>
          <w:b/>
        </w:rPr>
        <w:t>Radiographie :</w:t>
      </w:r>
    </w:p>
    <w:p>
      <w:pPr>
        <w:numPr>
          <w:ilvl w:val="3"/>
          <w:numId w:val="17"/>
        </w:numPr>
      </w:pPr>
      <w:r>
        <w:rPr/>
        <w:t>Anomalies du bassin maternel</w:t>
      </w:r>
    </w:p>
    <w:p>
      <w:pPr>
        <w:numPr>
          <w:ilvl w:val="3"/>
          <w:numId w:val="17"/>
        </w:numPr>
      </w:pPr>
      <w:r>
        <w:rPr/>
        <w:t xml:space="preserve">Ou anomalie des structures osseuses </w:t>
      </w:r>
      <w:r>
        <w:rPr/>
        <w:t>fœtales</w:t>
      </w:r>
    </w:p>
    <w:p>
      <w:pPr>
        <w:pStyle w:val="Heading2"/>
      </w:pPr>
      <w:r>
        <w:rPr/>
        <w:t>CLASSIFICATION</w:t>
      </w:r>
    </w:p>
    <w:p>
      <w:pPr>
        <w:numPr>
          <w:ilvl w:val="0"/>
          <w:numId w:val="18"/>
        </w:numPr>
      </w:pPr>
      <w:r>
        <w:rPr>
          <w:b/>
        </w:rPr>
        <w:t>Repère de la PT : acromion</w:t>
      </w:r>
    </w:p>
    <w:p>
      <w:pPr>
        <w:numPr>
          <w:ilvl w:val="1"/>
          <w:numId w:val="18"/>
        </w:numPr>
      </w:pPr>
      <w:r>
        <w:rPr/>
        <w:t>Dorso-antérieures : plus fréquentes (</w:t>
      </w:r>
      <w:r>
        <w:rPr>
          <w:i/>
        </w:rPr>
        <w:t>dos aty aloha)</w:t>
      </w:r>
    </w:p>
    <w:p>
      <w:pPr>
        <w:numPr>
          <w:ilvl w:val="2"/>
          <w:numId w:val="18"/>
        </w:numPr>
      </w:pPr>
      <w:r>
        <w:rPr/>
        <w:t>Acromio-iliaque gauche antérieure</w:t>
      </w:r>
    </w:p>
    <w:p>
      <w:pPr>
        <w:numPr>
          <w:ilvl w:val="2"/>
          <w:numId w:val="18"/>
        </w:numPr>
      </w:pPr>
      <w:r>
        <w:rPr/>
        <w:t>Acromio-iliaque droit antérieure</w:t>
      </w:r>
    </w:p>
    <w:p>
      <w:pPr>
        <w:numPr>
          <w:ilvl w:val="1"/>
          <w:numId w:val="18"/>
        </w:numPr>
      </w:pPr>
      <w:r>
        <w:rPr/>
        <w:t>Dorso-postérieures (</w:t>
      </w:r>
      <w:r>
        <w:rPr>
          <w:i/>
        </w:rPr>
        <w:t>dos any aoriana)</w:t>
      </w:r>
    </w:p>
    <w:p>
      <w:pPr>
        <w:numPr>
          <w:ilvl w:val="2"/>
          <w:numId w:val="18"/>
        </w:numPr>
      </w:pPr>
      <w:r>
        <w:rPr/>
        <w:t>Acromio-iliaque gauche postérieure</w:t>
      </w:r>
    </w:p>
    <w:p>
      <w:pPr>
        <w:numPr>
          <w:ilvl w:val="2"/>
          <w:numId w:val="18"/>
        </w:numPr>
      </w:pPr>
      <w:r>
        <w:rPr/>
        <w:t>Acromio-iliaque droite postérieure</w:t>
      </w:r>
    </w:p>
    <w:p>
      <w:pPr>
        <w:numPr>
          <w:ilvl w:val="1"/>
          <w:numId w:val="18"/>
        </w:numPr>
      </w:pPr>
      <w:r>
        <w:rPr/>
        <w:t xml:space="preserve">Autres : dorso-supérieur = foetus volant, rare responsable de déformation rachidienne en hyperextension </w:t>
      </w:r>
    </w:p>
    <w:p>
      <w:pPr>
        <w:pStyle w:val="Heading2"/>
      </w:pPr>
      <w:r>
        <w:rPr/>
        <w:t>ETIOLOGIES</w:t>
      </w:r>
    </w:p>
    <w:p>
      <w:pPr>
        <w:pStyle w:val="Heading3"/>
        <w:numPr>
          <w:ilvl w:val="0"/>
          <w:numId w:val="63"/>
        </w:numPr>
      </w:pPr>
      <w:r>
        <w:rPr/>
        <w:t>PT primitive constante et irréductible :</w:t>
      </w:r>
    </w:p>
    <w:p>
      <w:pPr>
        <w:numPr>
          <w:ilvl w:val="1"/>
          <w:numId w:val="19"/>
        </w:numPr>
      </w:pPr>
      <w:r>
        <w:rPr/>
        <w:t xml:space="preserve">Malformations </w:t>
      </w:r>
      <w:r>
        <w:rPr/>
        <w:t>utérines</w:t>
      </w:r>
      <w:r>
        <w:rPr/>
        <w:t xml:space="preserve"> : utérus cordiforme à grand axe transversal</w:t>
      </w:r>
    </w:p>
    <w:p>
      <w:pPr>
        <w:numPr>
          <w:ilvl w:val="1"/>
          <w:numId w:val="19"/>
        </w:numPr>
      </w:pPr>
      <w:r>
        <w:rPr/>
        <w:t>Fibromyome utérin</w:t>
      </w:r>
    </w:p>
    <w:p>
      <w:pPr>
        <w:numPr>
          <w:ilvl w:val="1"/>
          <w:numId w:val="19"/>
        </w:numPr>
      </w:pPr>
      <w:r>
        <w:rPr/>
        <w:t>Bassin rétréci avec saillie du promontoire</w:t>
      </w:r>
    </w:p>
    <w:p>
      <w:pPr>
        <w:numPr>
          <w:ilvl w:val="1"/>
          <w:numId w:val="19"/>
        </w:numPr>
      </w:pPr>
      <w:r>
        <w:rPr/>
        <w:t xml:space="preserve">Placenta </w:t>
      </w:r>
      <w:r>
        <w:rPr/>
        <w:t>prævia</w:t>
      </w:r>
    </w:p>
    <w:p>
      <w:pPr>
        <w:numPr>
          <w:ilvl w:val="1"/>
          <w:numId w:val="19"/>
        </w:numPr>
      </w:pPr>
      <w:r>
        <w:rPr/>
        <w:t>Brièveté du cordon ombilical</w:t>
      </w:r>
    </w:p>
    <w:p>
      <w:pPr>
        <w:numPr>
          <w:ilvl w:val="1"/>
          <w:numId w:val="19"/>
        </w:numPr>
      </w:pPr>
      <w:r>
        <w:rPr/>
        <w:t xml:space="preserve">Tumeurs </w:t>
      </w:r>
      <w:r>
        <w:rPr/>
        <w:t>prævia</w:t>
      </w:r>
      <w:r>
        <w:rPr/>
        <w:t xml:space="preserve"> : KO, fibrome sous-séreux pédiculé</w:t>
      </w:r>
    </w:p>
    <w:p>
      <w:pPr>
        <w:pStyle w:val="Heading3"/>
        <w:numPr>
          <w:ilvl w:val="0"/>
          <w:numId w:val="63"/>
        </w:numPr>
      </w:pPr>
      <w:r>
        <w:rPr/>
        <w:t xml:space="preserve">PT </w:t>
      </w:r>
      <w:r>
        <w:rPr/>
        <w:t>accidentelle</w:t>
      </w:r>
    </w:p>
    <w:p>
      <w:pPr>
        <w:numPr>
          <w:ilvl w:val="1"/>
          <w:numId w:val="19"/>
        </w:numPr>
      </w:pPr>
      <w:r>
        <w:rPr/>
        <w:t>Défaut d’</w:t>
      </w:r>
      <w:r>
        <w:rPr/>
        <w:t>accommodation</w:t>
      </w:r>
      <w:r>
        <w:rPr/>
        <w:t xml:space="preserve"> du </w:t>
      </w:r>
      <w:r>
        <w:rPr/>
        <w:t>fœtus</w:t>
      </w:r>
    </w:p>
    <w:p>
      <w:pPr>
        <w:numPr>
          <w:ilvl w:val="1"/>
          <w:numId w:val="19"/>
        </w:numPr>
      </w:pPr>
      <w:r>
        <w:rPr/>
        <w:t>Utérus vaste, atone des multipares</w:t>
      </w:r>
    </w:p>
    <w:p>
      <w:pPr>
        <w:numPr>
          <w:ilvl w:val="1"/>
          <w:numId w:val="19"/>
        </w:numPr>
      </w:pPr>
      <w:r>
        <w:rPr/>
        <w:t>Hydramnios</w:t>
      </w:r>
    </w:p>
    <w:p>
      <w:pPr>
        <w:numPr>
          <w:ilvl w:val="1"/>
          <w:numId w:val="19"/>
        </w:numPr>
      </w:pPr>
      <w:r>
        <w:rPr/>
        <w:t>Prématurité</w:t>
      </w:r>
    </w:p>
    <w:p>
      <w:pPr>
        <w:numPr>
          <w:ilvl w:val="1"/>
          <w:numId w:val="19"/>
        </w:numPr>
      </w:pPr>
      <w:r>
        <w:rPr/>
        <w:t>RCIU</w:t>
      </w:r>
    </w:p>
    <w:p>
      <w:pPr>
        <w:numPr>
          <w:ilvl w:val="1"/>
          <w:numId w:val="19"/>
        </w:numPr>
      </w:pPr>
      <w:r>
        <w:rPr/>
        <w:t>Grossesses multiples</w:t>
      </w:r>
    </w:p>
    <w:p>
      <w:pPr/>
    </w:p>
    <w:p>
      <w:pPr>
        <w:pStyle w:val="Heading2"/>
      </w:pPr>
      <w:r>
        <w:rPr/>
        <w:t>EVOLUTION ET COMPLICATIONS</w:t>
      </w:r>
      <w:r>
        <w:rPr/>
      </w:r>
      <w:r>
        <w:rPr/>
        <w:t xml:space="preserve">  +++++++++</w:t>
      </w:r>
    </w:p>
    <w:p>
      <w:pPr>
        <w:pStyle w:val="Heading3"/>
        <w:numPr>
          <w:ilvl w:val="0"/>
          <w:numId w:val="64"/>
        </w:numPr>
      </w:pPr>
      <w:r>
        <w:rPr/>
        <w:t>Epaule négligé (la main tombe dans le vagin et est dehors)</w:t>
      </w:r>
    </w:p>
    <w:p>
      <w:pPr>
        <w:numPr>
          <w:ilvl w:val="1"/>
          <w:numId w:val="20"/>
        </w:numPr>
      </w:pPr>
      <w:r>
        <w:rPr/>
        <w:t>Chez une patiente arrivée tard en salle de travail</w:t>
      </w:r>
    </w:p>
    <w:p>
      <w:pPr>
        <w:numPr>
          <w:ilvl w:val="1"/>
          <w:numId w:val="20"/>
        </w:numPr>
      </w:pPr>
      <w:r>
        <w:rPr/>
        <w:t>Chez les multipares : à bas bruit</w:t>
      </w:r>
    </w:p>
    <w:p>
      <w:pPr>
        <w:numPr>
          <w:ilvl w:val="1"/>
          <w:numId w:val="20"/>
        </w:numPr>
      </w:pPr>
      <w:r>
        <w:rPr/>
        <w:t xml:space="preserve">Trois conditions : </w:t>
      </w:r>
    </w:p>
    <w:p>
      <w:pPr>
        <w:numPr>
          <w:ilvl w:val="2"/>
          <w:numId w:val="20"/>
        </w:numPr>
      </w:pPr>
      <w:r>
        <w:rPr/>
        <w:t>Patiente en travail (</w:t>
      </w:r>
      <w:r>
        <w:rPr>
          <w:i/>
        </w:rPr>
        <w:t>contractions régulières intermittentes)</w:t>
      </w:r>
    </w:p>
    <w:p>
      <w:pPr>
        <w:numPr>
          <w:ilvl w:val="2"/>
          <w:numId w:val="20"/>
        </w:numPr>
      </w:pPr>
      <w:r>
        <w:rPr/>
        <w:t>Rupture des membranes</w:t>
      </w:r>
    </w:p>
    <w:p>
      <w:pPr>
        <w:numPr>
          <w:ilvl w:val="2"/>
          <w:numId w:val="20"/>
        </w:numPr>
      </w:pPr>
      <w:r>
        <w:rPr/>
        <w:t>Ouverture du col de l’utérus</w:t>
      </w:r>
    </w:p>
    <w:p>
      <w:pPr>
        <w:numPr>
          <w:ilvl w:val="1"/>
          <w:numId w:val="20"/>
        </w:numPr>
      </w:pPr>
      <w:r>
        <w:rPr/>
        <w:t>Conséquences :</w:t>
      </w:r>
    </w:p>
    <w:p>
      <w:pPr>
        <w:numPr>
          <w:ilvl w:val="2"/>
          <w:numId w:val="20"/>
        </w:numPr>
      </w:pPr>
      <w:r>
        <w:rPr/>
        <w:t>Mort foetale (</w:t>
      </w:r>
      <w:r>
        <w:rPr>
          <w:i/>
        </w:rPr>
        <w:t>comprimé, asphyxié, traumatisé)</w:t>
      </w:r>
    </w:p>
    <w:p>
      <w:pPr>
        <w:numPr>
          <w:ilvl w:val="2"/>
          <w:numId w:val="20"/>
        </w:numPr>
      </w:pPr>
      <w:r>
        <w:rPr/>
        <w:t>Macération avec infection ovulaire</w:t>
      </w:r>
    </w:p>
    <w:p>
      <w:pPr>
        <w:numPr>
          <w:ilvl w:val="2"/>
          <w:numId w:val="20"/>
        </w:numPr>
      </w:pPr>
      <w:r>
        <w:rPr/>
        <w:t xml:space="preserve">Rupture du segment inférieur </w:t>
      </w:r>
      <w:r>
        <w:rPr>
          <w:i/>
        </w:rPr>
        <w:t>de l’utérus</w:t>
      </w:r>
    </w:p>
    <w:p>
      <w:pPr>
        <w:pStyle w:val="Heading3"/>
        <w:numPr>
          <w:ilvl w:val="0"/>
          <w:numId w:val="64"/>
        </w:numPr>
      </w:pPr>
      <w:r>
        <w:rPr/>
        <w:t>Accouchement</w:t>
      </w:r>
      <w:r>
        <w:rPr/>
        <w:t xml:space="preserve"> : conduplicato corpore</w:t>
      </w:r>
    </w:p>
    <w:p>
      <w:pPr>
        <w:numPr>
          <w:ilvl w:val="1"/>
          <w:numId w:val="20"/>
        </w:numPr>
      </w:pPr>
      <w:r>
        <w:rPr/>
        <w:t>Situation exceptionnelle</w:t>
      </w:r>
    </w:p>
    <w:p>
      <w:pPr>
        <w:numPr>
          <w:ilvl w:val="1"/>
          <w:numId w:val="20"/>
        </w:numPr>
      </w:pPr>
      <w:r>
        <w:rPr/>
        <w:t xml:space="preserve">Accouchement spontané d’un petit </w:t>
      </w:r>
      <w:r>
        <w:rPr/>
        <w:t>fœtus</w:t>
      </w:r>
      <w:r>
        <w:rPr/>
        <w:t xml:space="preserve"> mort macéré plié en deux</w:t>
      </w:r>
    </w:p>
    <w:p>
      <w:pPr>
        <w:pStyle w:val="Heading3"/>
        <w:numPr>
          <w:ilvl w:val="0"/>
          <w:numId w:val="64"/>
        </w:numPr>
      </w:pPr>
      <w:r>
        <w:rPr/>
        <w:t xml:space="preserve">Version </w:t>
      </w:r>
      <w:r>
        <w:rPr/>
        <w:t>spontanée</w:t>
      </w:r>
      <w:r>
        <w:rPr/>
        <w:t xml:space="preserve"> ou mutation</w:t>
      </w:r>
    </w:p>
    <w:p>
      <w:pPr>
        <w:numPr>
          <w:ilvl w:val="1"/>
          <w:numId w:val="20"/>
        </w:numPr>
      </w:pPr>
      <w:r>
        <w:rPr/>
        <w:t>Verticalisation de la présentation sous l’action de la contraction utérine (</w:t>
      </w:r>
      <w:r>
        <w:rPr>
          <w:i/>
        </w:rPr>
        <w:t>possible chez les grandes nullipares à utérus basse et atone)</w:t>
      </w:r>
    </w:p>
    <w:p>
      <w:pPr>
        <w:pStyle w:val="Heading3"/>
        <w:numPr>
          <w:ilvl w:val="0"/>
          <w:numId w:val="64"/>
        </w:numPr>
      </w:pPr>
      <w:r>
        <w:rPr/>
        <w:t>Procidence</w:t>
      </w:r>
      <w:r>
        <w:rPr/>
        <w:t xml:space="preserve"> du cordon ombilical +++</w:t>
      </w:r>
    </w:p>
    <w:p>
      <w:pPr>
        <w:pStyle w:val="Heading3"/>
        <w:numPr>
          <w:ilvl w:val="0"/>
          <w:numId w:val="64"/>
        </w:numPr>
      </w:pPr>
      <w:r>
        <w:rPr/>
        <w:t>Rupture</w:t>
      </w:r>
      <w:r>
        <w:rPr/>
        <w:t xml:space="preserve"> utérine</w:t>
      </w:r>
      <w:r>
        <w:rPr/>
        <w:t xml:space="preserve"> </w:t>
      </w:r>
    </w:p>
    <w:p>
      <w:pPr>
        <w:numPr>
          <w:ilvl w:val="1"/>
          <w:numId w:val="20"/>
        </w:numPr>
      </w:pPr>
      <w:r>
        <w:rPr/>
        <w:t>Spontanée : choc +/- hémorragie</w:t>
      </w:r>
    </w:p>
    <w:p>
      <w:pPr>
        <w:numPr>
          <w:ilvl w:val="1"/>
          <w:numId w:val="20"/>
        </w:numPr>
      </w:pPr>
      <w:r>
        <w:rPr/>
        <w:t xml:space="preserve">Douleur +++ </w:t>
      </w:r>
    </w:p>
    <w:p>
      <w:pPr>
        <w:numPr>
          <w:ilvl w:val="1"/>
          <w:numId w:val="20"/>
        </w:numPr>
      </w:pPr>
      <w:r>
        <w:rPr/>
        <w:t>Et surtout disparition de la douleur (</w:t>
      </w:r>
      <w:r>
        <w:rPr>
          <w:i/>
        </w:rPr>
        <w:t>ne se contracte plus)</w:t>
      </w:r>
    </w:p>
    <w:p>
      <w:pPr>
        <w:numPr>
          <w:ilvl w:val="1"/>
          <w:numId w:val="20"/>
        </w:numPr>
      </w:pPr>
      <w:r>
        <w:rPr/>
        <w:t>Fœtus</w:t>
      </w:r>
      <w:r>
        <w:rPr/>
        <w:t xml:space="preserve"> sous </w:t>
      </w:r>
      <w:r>
        <w:rPr/>
        <w:t>la paroi</w:t>
      </w:r>
      <w:r>
        <w:rPr/>
        <w:t>, bdcf absent</w:t>
      </w:r>
    </w:p>
    <w:p>
      <w:pPr>
        <w:numPr>
          <w:ilvl w:val="1"/>
          <w:numId w:val="20"/>
        </w:numPr>
      </w:pPr>
      <w:r>
        <w:rPr/>
        <w:t>Provoquée : au cours de la VMI</w:t>
      </w:r>
      <w:r>
        <w:rPr/>
        <w:t xml:space="preserve"> </w:t>
      </w:r>
      <w:r>
        <w:rPr/>
        <w:t>(</w:t>
      </w:r>
      <w:r>
        <w:rPr>
          <w:i/>
        </w:rPr>
        <w:t xml:space="preserve">version par </w:t>
      </w:r>
      <w:r>
        <w:rPr>
          <w:i/>
        </w:rPr>
        <w:t>manœuvre</w:t>
      </w:r>
      <w:r>
        <w:rPr>
          <w:i/>
        </w:rPr>
        <w:t xml:space="preserve"> interne)</w:t>
      </w:r>
    </w:p>
    <w:p>
      <w:pPr/>
    </w:p>
    <w:p>
      <w:pPr>
        <w:pStyle w:val="Heading2"/>
      </w:pPr>
      <w:r>
        <w:rPr/>
        <w:t>CONDUITE A TENIR</w:t>
      </w:r>
    </w:p>
    <w:p>
      <w:pPr>
        <w:numPr>
          <w:ilvl w:val="0"/>
          <w:numId w:val="21"/>
        </w:numPr>
      </w:pPr>
      <w:r>
        <w:rPr>
          <w:b/>
        </w:rPr>
        <w:t xml:space="preserve">Pendant la grossesse : VME (version par </w:t>
      </w:r>
      <w:r>
        <w:rPr>
          <w:b/>
        </w:rPr>
        <w:t>manœuvre</w:t>
      </w:r>
      <w:r>
        <w:rPr>
          <w:b/>
        </w:rPr>
        <w:t xml:space="preserve"> externe)</w:t>
      </w:r>
    </w:p>
    <w:p>
      <w:pPr>
        <w:numPr>
          <w:ilvl w:val="1"/>
          <w:numId w:val="21"/>
        </w:numPr>
      </w:pPr>
      <w:r>
        <w:rPr/>
        <w:t>Consentement de la femme</w:t>
      </w:r>
    </w:p>
    <w:p>
      <w:pPr>
        <w:numPr>
          <w:ilvl w:val="1"/>
          <w:numId w:val="21"/>
        </w:numPr>
      </w:pPr>
      <w:r>
        <w:rPr/>
        <w:t>Précautions :</w:t>
      </w:r>
    </w:p>
    <w:p>
      <w:pPr>
        <w:numPr>
          <w:ilvl w:val="2"/>
          <w:numId w:val="21"/>
        </w:numPr>
      </w:pPr>
      <w:r>
        <w:rPr/>
        <w:t>Absence de contre-indication de la voie basse</w:t>
      </w:r>
    </w:p>
    <w:p>
      <w:pPr>
        <w:numPr>
          <w:ilvl w:val="2"/>
          <w:numId w:val="21"/>
        </w:numPr>
      </w:pPr>
      <w:r>
        <w:rPr/>
        <w:t>Ne pas pratiquer sur utérus malformé</w:t>
      </w:r>
    </w:p>
    <w:p>
      <w:pPr>
        <w:numPr>
          <w:ilvl w:val="2"/>
          <w:numId w:val="21"/>
        </w:numPr>
      </w:pPr>
      <w:r>
        <w:rPr/>
        <w:t>35 et 36 semaines de grossesse</w:t>
      </w:r>
    </w:p>
    <w:p>
      <w:pPr>
        <w:numPr>
          <w:ilvl w:val="2"/>
          <w:numId w:val="21"/>
        </w:numPr>
      </w:pPr>
      <w:r>
        <w:rPr/>
        <w:t>Près d’un bloc opératoire</w:t>
      </w:r>
    </w:p>
    <w:p>
      <w:pPr>
        <w:numPr>
          <w:ilvl w:val="2"/>
          <w:numId w:val="21"/>
        </w:numPr>
      </w:pPr>
      <w:r>
        <w:rPr/>
        <w:t>RCF avant et après la tentative</w:t>
      </w:r>
    </w:p>
    <w:p>
      <w:pPr>
        <w:numPr>
          <w:ilvl w:val="2"/>
          <w:numId w:val="21"/>
        </w:numPr>
      </w:pPr>
      <w:r>
        <w:rPr/>
        <w:t xml:space="preserve">Patiente à jeun sous </w:t>
      </w:r>
      <w:r>
        <w:rPr>
          <w:rFonts w:ascii="Symbol" w:hAnsi="Symbol"/>
        </w:rPr>
        <w:t>b-</w:t>
      </w:r>
      <w:r>
        <w:rPr>
          <w:rFonts w:ascii="Calibri" w:hAnsi="Calibri"/>
        </w:rPr>
        <w:t>mimétique</w:t>
      </w:r>
    </w:p>
    <w:p>
      <w:pPr>
        <w:numPr>
          <w:ilvl w:val="0"/>
          <w:numId w:val="21"/>
        </w:numPr>
      </w:pPr>
      <w:r>
        <w:rPr>
          <w:rFonts w:ascii="Calibri" w:hAnsi="Calibri"/>
          <w:b/>
        </w:rPr>
        <w:t>Pendant le travail</w:t>
      </w:r>
    </w:p>
    <w:p>
      <w:pPr>
        <w:ind w:left="720"/>
      </w:pPr>
      <w:r>
        <w:rPr>
          <w:rFonts w:ascii="Calibri" w:hAnsi="Calibri"/>
        </w:rPr>
        <w:t>C’est une grande urgence obstétricale</w:t>
      </w:r>
    </w:p>
    <w:p>
      <w:pPr>
        <w:numPr>
          <w:ilvl w:val="0"/>
          <w:numId w:val="22"/>
        </w:numPr>
      </w:pPr>
      <w:r>
        <w:rPr>
          <w:rFonts w:ascii="Calibri" w:hAnsi="Calibri"/>
        </w:rPr>
        <w:t>Si rupture des membranes : césarienne</w:t>
      </w:r>
    </w:p>
    <w:p>
      <w:pPr>
        <w:numPr>
          <w:ilvl w:val="0"/>
          <w:numId w:val="22"/>
        </w:numPr>
      </w:pPr>
      <w:r>
        <w:rPr>
          <w:rFonts w:ascii="Calibri" w:hAnsi="Calibri"/>
        </w:rPr>
        <w:t>Si membranes intactes :</w:t>
      </w:r>
    </w:p>
    <w:p>
      <w:pPr>
        <w:numPr>
          <w:ilvl w:val="1"/>
          <w:numId w:val="22"/>
        </w:numPr>
      </w:pPr>
      <w:r>
        <w:rPr>
          <w:rFonts w:ascii="Calibri" w:hAnsi="Calibri"/>
        </w:rPr>
        <w:t>Primipare : césarienne</w:t>
      </w:r>
    </w:p>
    <w:p>
      <w:pPr>
        <w:numPr>
          <w:ilvl w:val="1"/>
          <w:numId w:val="22"/>
        </w:numPr>
      </w:pPr>
      <w:r>
        <w:rPr>
          <w:rFonts w:ascii="Calibri" w:hAnsi="Calibri"/>
        </w:rPr>
        <w:t xml:space="preserve">Multipares à utérus normal non cicatriciel : VME + péridurale ou </w:t>
      </w:r>
      <w:r>
        <w:rPr>
          <w:rFonts w:ascii="Symbol" w:hAnsi="Symbol"/>
        </w:rPr>
        <w:t>b</w:t>
      </w:r>
      <w:r>
        <w:rPr>
          <w:rFonts w:ascii="Calibri" w:hAnsi="Calibri"/>
        </w:rPr>
        <w:t>-mimétique</w:t>
      </w:r>
    </w:p>
    <w:p>
      <w:pPr/>
    </w:p>
    <w:p>
      <w:pPr>
        <w:numPr>
          <w:ilvl w:val="0"/>
          <w:numId w:val="23"/>
        </w:numPr>
      </w:pPr>
      <w:r>
        <w:rPr>
          <w:b/>
        </w:rPr>
        <w:t>PT du deuxième jumeau</w:t>
      </w:r>
    </w:p>
    <w:p>
      <w:pPr>
        <w:numPr>
          <w:ilvl w:val="1"/>
          <w:numId w:val="23"/>
        </w:numPr>
      </w:pPr>
      <w:r>
        <w:rPr/>
        <w:t>VMI</w:t>
      </w:r>
      <w:r>
        <w:rPr/>
      </w:r>
      <w:r>
        <w:rPr/>
        <w:t xml:space="preserve"> : grande extraction en respectant quelques conditions : multipare à dilatation complète, utérus non rétracté</w:t>
      </w:r>
    </w:p>
    <w:p>
      <w:pPr>
        <w:numPr>
          <w:ilvl w:val="0"/>
          <w:numId w:val="23"/>
        </w:numPr>
      </w:pPr>
      <w:r>
        <w:rPr>
          <w:b/>
        </w:rPr>
        <w:t xml:space="preserve">Epaule négligé : </w:t>
      </w:r>
      <w:r>
        <w:rPr/>
        <w:t>césarienne impérative</w:t>
      </w:r>
    </w:p>
    <w:p>
      <w:pPr>
        <w:numPr>
          <w:ilvl w:val="0"/>
          <w:numId w:val="23"/>
        </w:numPr>
      </w:pPr>
      <w:r>
        <w:rPr>
          <w:b/>
        </w:rPr>
        <w:t xml:space="preserve">Rupture utérine : </w:t>
      </w:r>
      <w:r>
        <w:rPr/>
        <w:t xml:space="preserve">laparotomie </w:t>
      </w:r>
      <w:r>
        <w:rPr>
          <w:i/>
        </w:rPr>
        <w:t>(hystérectomie ou hystéroraphie: selon la parité.)</w:t>
      </w:r>
    </w:p>
    <w:p>
      <w:pPr>
        <w:numPr>
          <w:ilvl w:val="0"/>
          <w:numId w:val="23"/>
        </w:numPr>
      </w:pPr>
      <w:r>
        <w:rPr>
          <w:b/>
        </w:rPr>
        <w:t xml:space="preserve">Foetus décédé : </w:t>
      </w:r>
      <w:r>
        <w:rPr/>
        <w:t>la conduite dépend de l’étiologie de la mort foetale</w:t>
      </w:r>
    </w:p>
    <w:p>
      <w:pPr/>
    </w:p>
    <w:p>
      <w:pPr/>
      <w:r>
        <w:rPr>
          <w:b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