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TRAITEMENTS PREVENTIFS AU COURS DE LA GROSSESSE A MADAGASCAR</w:t>
      </w:r>
      <w:r>
        <w:rPr/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36"/>
        </w:numPr>
      </w:pPr>
      <w:r>
        <w:rPr/>
        <w:t>OMD 4</w:t>
      </w:r>
      <w:r>
        <w:rPr/>
      </w:r>
      <w:r>
        <w:rPr/>
        <w:t xml:space="preserve"> : Réduire la mortalité infantile</w:t>
      </w:r>
    </w:p>
    <w:p>
      <w:pPr>
        <w:numPr>
          <w:ilvl w:val="1"/>
          <w:numId w:val="36"/>
        </w:numPr>
      </w:pPr>
      <w:r>
        <w:rPr/>
        <w:t>Causes : infection, asphyxie, prématurité</w:t>
      </w:r>
      <w:r>
        <w:rPr/>
        <w:br/>
      </w:r>
    </w:p>
    <w:p>
      <w:pPr>
        <w:numPr>
          <w:ilvl w:val="0"/>
          <w:numId w:val="36"/>
        </w:numPr>
      </w:pPr>
      <w:r>
        <w:rPr/>
        <w:t>OMD 5 : améliorer la santé maternelle</w:t>
      </w:r>
    </w:p>
    <w:p>
      <w:pPr>
        <w:numPr>
          <w:ilvl w:val="1"/>
          <w:numId w:val="36"/>
        </w:numPr>
      </w:pPr>
      <w:r>
        <w:rPr/>
        <w:t>Taux à Madagascar : 498/ 100.000</w:t>
      </w:r>
      <w:r>
        <w:rPr/>
      </w:r>
    </w:p>
    <w:p>
      <w:pPr>
        <w:numPr>
          <w:ilvl w:val="1"/>
          <w:numId w:val="36"/>
        </w:numPr>
      </w:pPr>
      <w:r>
        <w:rPr/>
        <w:t>Causes : hémorragie (</w:t>
      </w:r>
      <w:r>
        <w:rPr>
          <w:i/>
        </w:rPr>
        <w:t>au cours de l’accouchement)</w:t>
      </w:r>
      <w:r>
        <w:rPr/>
        <w:t xml:space="preserve">, infections </w:t>
      </w:r>
      <w:r>
        <w:rPr>
          <w:i/>
        </w:rPr>
        <w:t>péri-natales</w:t>
      </w:r>
    </w:p>
    <w:p>
      <w:pPr/>
    </w:p>
    <w:p>
      <w:pPr>
        <w:pStyle w:val="Heading2"/>
      </w:pPr>
      <w:r>
        <w:rPr/>
        <w:t>Justifications :</w:t>
      </w:r>
    </w:p>
    <w:p>
      <w:pPr>
        <w:numPr>
          <w:ilvl w:val="0"/>
          <w:numId w:val="37"/>
        </w:numPr>
      </w:pPr>
      <w:r>
        <w:rPr/>
        <w:t>Anémie et grossesse : effets (</w:t>
      </w:r>
      <w:r>
        <w:rPr>
          <w:i/>
        </w:rPr>
        <w:t>conséquences de l’anémie)</w:t>
      </w:r>
    </w:p>
    <w:p>
      <w:pPr>
        <w:numPr>
          <w:ilvl w:val="1"/>
          <w:numId w:val="37"/>
        </w:numPr>
      </w:pPr>
      <w:r>
        <w:rPr/>
        <w:t>Prématurité</w:t>
      </w:r>
    </w:p>
    <w:p>
      <w:pPr>
        <w:numPr>
          <w:ilvl w:val="1"/>
          <w:numId w:val="37"/>
        </w:numPr>
      </w:pPr>
      <w:r>
        <w:rPr/>
        <w:t>Décès in utéro</w:t>
      </w:r>
    </w:p>
    <w:p>
      <w:pPr>
        <w:numPr>
          <w:ilvl w:val="1"/>
          <w:numId w:val="37"/>
        </w:numPr>
      </w:pPr>
      <w:r>
        <w:rPr/>
        <w:t>RCIU, faible poids de naissance</w:t>
      </w:r>
    </w:p>
    <w:p>
      <w:pPr>
        <w:numPr>
          <w:ilvl w:val="1"/>
          <w:numId w:val="37"/>
        </w:numPr>
      </w:pPr>
      <w:r>
        <w:rPr/>
        <w:t>Mauvaise tolérance à l’HPP</w:t>
      </w:r>
    </w:p>
    <w:p>
      <w:pPr>
        <w:numPr>
          <w:ilvl w:val="0"/>
          <w:numId w:val="37"/>
        </w:numPr>
      </w:pPr>
      <w:r>
        <w:rPr/>
        <w:t>Anémie et grossesse : causes</w:t>
      </w:r>
    </w:p>
    <w:p>
      <w:pPr>
        <w:numPr>
          <w:ilvl w:val="1"/>
          <w:numId w:val="37"/>
        </w:numPr>
      </w:pPr>
      <w:r>
        <w:rPr/>
        <w:t>Carence d’apport alimentaire</w:t>
      </w:r>
    </w:p>
    <w:p>
      <w:pPr>
        <w:numPr>
          <w:ilvl w:val="1"/>
          <w:numId w:val="37"/>
        </w:numPr>
      </w:pPr>
      <w:r>
        <w:rPr/>
        <w:t>Saignement</w:t>
      </w:r>
    </w:p>
    <w:p>
      <w:pPr>
        <w:numPr>
          <w:ilvl w:val="1"/>
          <w:numId w:val="37"/>
        </w:numPr>
      </w:pPr>
      <w:r>
        <w:rPr/>
        <w:t>Parasitose (Paludisme, helminthiase ...)</w:t>
      </w:r>
      <w:r>
        <w:rPr/>
        <w:br/>
      </w:r>
    </w:p>
    <w:p>
      <w:pPr>
        <w:numPr>
          <w:ilvl w:val="0"/>
          <w:numId w:val="37"/>
        </w:numPr>
      </w:pPr>
      <w:r>
        <w:rPr/>
        <w:t>Paludisme et grossesse :</w:t>
      </w:r>
    </w:p>
    <w:p>
      <w:pPr>
        <w:numPr>
          <w:ilvl w:val="1"/>
          <w:numId w:val="37"/>
        </w:numPr>
      </w:pPr>
      <w:r>
        <w:rPr/>
        <w:t xml:space="preserve">Incidence encore élevée chez la femme enceinte, en particulier dans les régions enclavées et les régions </w:t>
      </w:r>
      <w:r>
        <w:rPr/>
        <w:t>cotières</w:t>
      </w:r>
    </w:p>
    <w:p>
      <w:pPr>
        <w:numPr>
          <w:ilvl w:val="1"/>
          <w:numId w:val="37"/>
        </w:numPr>
      </w:pPr>
      <w:r>
        <w:rPr/>
        <w:t>Formes graves encore importantes, conséquence : anémie maternelle</w:t>
      </w:r>
    </w:p>
    <w:p>
      <w:pPr>
        <w:numPr>
          <w:ilvl w:val="1"/>
          <w:numId w:val="37"/>
        </w:numPr>
      </w:pPr>
      <w:r>
        <w:rPr/>
        <w:t xml:space="preserve">Complications </w:t>
      </w:r>
      <w:r>
        <w:rPr/>
        <w:t>foetales</w:t>
      </w:r>
      <w:r>
        <w:rPr/>
        <w:t xml:space="preserve"> :</w:t>
      </w:r>
    </w:p>
    <w:p>
      <w:pPr>
        <w:numPr>
          <w:ilvl w:val="2"/>
          <w:numId w:val="37"/>
        </w:numPr>
      </w:pPr>
      <w:r>
        <w:rPr/>
        <w:t>Avortement</w:t>
      </w:r>
    </w:p>
    <w:p>
      <w:pPr>
        <w:numPr>
          <w:ilvl w:val="2"/>
          <w:numId w:val="37"/>
        </w:numPr>
      </w:pPr>
      <w:r>
        <w:rPr/>
        <w:t>Prématurité</w:t>
      </w:r>
    </w:p>
    <w:p>
      <w:pPr>
        <w:numPr>
          <w:ilvl w:val="2"/>
          <w:numId w:val="37"/>
        </w:numPr>
      </w:pPr>
      <w:r>
        <w:rPr/>
        <w:t>Petit poids de naissance (PPN)</w:t>
      </w:r>
    </w:p>
    <w:p>
      <w:pPr>
        <w:numPr>
          <w:ilvl w:val="2"/>
          <w:numId w:val="37"/>
        </w:numPr>
      </w:pPr>
      <w:r>
        <w:rPr/>
        <w:t>Décès néonatal</w:t>
      </w:r>
    </w:p>
    <w:p>
      <w:pPr>
        <w:numPr>
          <w:ilvl w:val="0"/>
          <w:numId w:val="37"/>
        </w:numPr>
      </w:pPr>
      <w:r>
        <w:rPr/>
        <w:t>Tétanos maternel et néonatal :</w:t>
      </w:r>
    </w:p>
    <w:p>
      <w:pPr>
        <w:numPr>
          <w:ilvl w:val="1"/>
          <w:numId w:val="37"/>
        </w:numPr>
      </w:pPr>
      <w:r>
        <w:rPr/>
        <w:t xml:space="preserve">Existe encore. Pays </w:t>
      </w:r>
      <w:r>
        <w:rPr/>
        <w:t>pauvre:</w:t>
      </w:r>
      <w:r>
        <w:rPr/>
        <w:t>2/3 mondial</w:t>
      </w:r>
      <w:r>
        <w:rPr/>
      </w:r>
      <w:r>
        <w:rPr/>
        <w:t>; Madagascar en fait partie</w:t>
      </w:r>
    </w:p>
    <w:p>
      <w:pPr>
        <w:numPr>
          <w:ilvl w:val="1"/>
          <w:numId w:val="37"/>
        </w:numPr>
      </w:pPr>
      <w:r>
        <w:rPr/>
        <w:t>Cause de décès</w:t>
      </w:r>
    </w:p>
    <w:p>
      <w:pPr>
        <w:numPr>
          <w:ilvl w:val="1"/>
          <w:numId w:val="37"/>
        </w:numPr>
      </w:pPr>
      <w:r>
        <w:rPr/>
        <w:t>Prévention possible et facile</w:t>
      </w:r>
    </w:p>
    <w:p>
      <w:pPr>
        <w:numPr>
          <w:ilvl w:val="1"/>
          <w:numId w:val="37"/>
        </w:numPr>
      </w:pPr>
      <w:r>
        <w:rPr>
          <w:i/>
        </w:rPr>
        <w:t>Porte d’entrée : cordon ombilical</w:t>
      </w:r>
    </w:p>
    <w:p>
      <w:pPr>
        <w:numPr>
          <w:ilvl w:val="1"/>
          <w:numId w:val="37"/>
        </w:numPr>
      </w:pPr>
      <w:r>
        <w:rPr>
          <w:i/>
        </w:rPr>
        <w:t xml:space="preserve">Dans les pays pauvres, 60-70% des femmes accouchent en dehors des formations sanitaires, milieu hospitalier. </w:t>
      </w:r>
    </w:p>
    <w:p>
      <w:pPr/>
    </w:p>
    <w:p>
      <w:pPr>
        <w:pStyle w:val="Heading2"/>
      </w:pPr>
      <w:r>
        <w:rPr/>
        <w:t>MOYENS</w:t>
      </w:r>
      <w:r>
        <w:rPr/>
      </w:r>
    </w:p>
    <w:p>
      <w:pPr>
        <w:pStyle w:val="Heading3"/>
      </w:pPr>
      <w:r>
        <w:rPr/>
        <w:t>Supplémentation en Fer et Acide Folique</w:t>
      </w:r>
      <w:r>
        <w:rPr/>
      </w:r>
    </w:p>
    <w:p>
      <w:pPr>
        <w:numPr>
          <w:ilvl w:val="0"/>
          <w:numId w:val="39"/>
        </w:numPr>
      </w:pPr>
      <w:r>
        <w:rPr/>
        <w:t xml:space="preserve">Besoin : </w:t>
      </w:r>
    </w:p>
    <w:p>
      <w:pPr>
        <w:numPr>
          <w:ilvl w:val="1"/>
          <w:numId w:val="39"/>
        </w:numPr>
      </w:pPr>
      <w:r>
        <w:rPr/>
        <w:t>Fer : 60 - 120 mg de Fer élément/j</w:t>
      </w:r>
    </w:p>
    <w:p>
      <w:pPr>
        <w:numPr>
          <w:ilvl w:val="1"/>
          <w:numId w:val="39"/>
        </w:numPr>
      </w:pPr>
      <w:r>
        <w:rPr/>
        <w:t>Folate : 500µg/j</w:t>
      </w:r>
    </w:p>
    <w:p>
      <w:pPr>
        <w:numPr>
          <w:ilvl w:val="0"/>
          <w:numId w:val="39"/>
        </w:numPr>
      </w:pPr>
      <w:r>
        <w:rPr/>
        <w:t>Dose recommandée : 1cp/j de FAF</w:t>
      </w:r>
    </w:p>
    <w:p>
      <w:pPr>
        <w:numPr>
          <w:ilvl w:val="0"/>
          <w:numId w:val="39"/>
        </w:numPr>
      </w:pPr>
      <w:r>
        <w:rPr/>
        <w:t>Durée : 06 mois</w:t>
      </w:r>
    </w:p>
    <w:p>
      <w:pPr>
        <w:numPr>
          <w:ilvl w:val="0"/>
          <w:numId w:val="39"/>
        </w:numPr>
      </w:pPr>
      <w:r>
        <w:rPr/>
        <w:t>Effets secondaires : digestifs +++</w:t>
      </w:r>
      <w:r>
        <w:rPr/>
      </w:r>
    </w:p>
    <w:p>
      <w:pPr/>
    </w:p>
    <w:p>
      <w:pPr>
        <w:pStyle w:val="Heading3"/>
      </w:pPr>
      <w:r>
        <w:rPr/>
        <w:t>TPI : Traitement Préventif Intermittente du paludisme</w:t>
      </w:r>
    </w:p>
    <w:p>
      <w:pPr>
        <w:numPr>
          <w:ilvl w:val="0"/>
          <w:numId w:val="40"/>
        </w:numPr>
      </w:pPr>
      <w:r>
        <w:rPr>
          <w:b/>
        </w:rPr>
        <w:t>Sulfadoxine</w:t>
      </w:r>
      <w:r>
        <w:rPr>
          <w:b/>
        </w:rPr>
        <w:t xml:space="preserve"> et Pyriméthamine</w:t>
      </w:r>
      <w:r>
        <w:rPr>
          <w:b/>
        </w:rPr>
        <w:br/>
      </w:r>
    </w:p>
    <w:p>
      <w:pPr>
        <w:numPr>
          <w:ilvl w:val="0"/>
          <w:numId w:val="40"/>
        </w:numPr>
      </w:pPr>
      <w:r>
        <w:rPr/>
        <w:t>Prévention du paludisme et de ses complications</w:t>
      </w:r>
    </w:p>
    <w:p>
      <w:pPr>
        <w:numPr>
          <w:ilvl w:val="0"/>
          <w:numId w:val="40"/>
        </w:numPr>
      </w:pPr>
      <w:r>
        <w:rPr/>
        <w:t xml:space="preserve">Dose recommandée : 03 </w:t>
      </w:r>
      <w:r>
        <w:rPr/>
        <w:t>cp</w:t>
      </w:r>
      <w:r>
        <w:rPr/>
        <w:t xml:space="preserve"> en une prise tous les mois, à partir de la 20è SA (20, 24, 28), à renouveler une ou deux fois</w:t>
      </w:r>
      <w:r>
        <w:rPr/>
      </w:r>
    </w:p>
    <w:p>
      <w:pPr>
        <w:numPr>
          <w:ilvl w:val="0"/>
          <w:numId w:val="40"/>
        </w:numPr>
      </w:pPr>
      <w:r>
        <w:rPr/>
        <w:t>Effets secondaires :</w:t>
      </w:r>
    </w:p>
    <w:p>
      <w:pPr>
        <w:numPr>
          <w:ilvl w:val="1"/>
          <w:numId w:val="40"/>
        </w:numPr>
      </w:pPr>
      <w:r>
        <w:rPr/>
        <w:t>La Pyriméthamine est tératogène chez l’animal</w:t>
      </w:r>
    </w:p>
    <w:p>
      <w:pPr>
        <w:numPr>
          <w:ilvl w:val="1"/>
          <w:numId w:val="40"/>
        </w:numPr>
      </w:pPr>
      <w:r>
        <w:rPr/>
        <w:t>Réactions cutanées, troubles digestifs rares, troubles hématologiques</w:t>
      </w:r>
    </w:p>
    <w:p>
      <w:pPr>
        <w:numPr>
          <w:ilvl w:val="0"/>
          <w:numId w:val="40"/>
        </w:numPr>
      </w:pPr>
      <w:r>
        <w:rPr/>
        <w:t>VAT : prévention du tétanos maternel et néonatal</w:t>
      </w:r>
    </w:p>
    <w:p>
      <w:pPr/>
    </w:p>
    <w:tbl>
      <w:tblPr>
        <w:tblStyle w:val="MediumGrid3-Accent5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22"/>
          </w:tcPr>
          <w:p/>
          <w:p>
            <w:pPr/>
            <w:r>
              <w:rPr>
                <w:color w:val="FFFFFF"/>
              </w:rPr>
              <w:t>DOSE</w:t>
            </w:r>
          </w:p>
        </w:tc>
        <w:tc>
          <w:tcPr>
            <w:tcW w:type="dxa" w:w="2322"/>
          </w:tcPr>
          <w:p/>
          <w:p>
            <w:pPr/>
            <w:r>
              <w:rPr>
                <w:color w:val="FFFFFF"/>
              </w:rPr>
              <w:t>CALENDRIER</w:t>
            </w:r>
          </w:p>
        </w:tc>
        <w:tc>
          <w:tcPr>
            <w:tcW w:type="dxa" w:w="2322"/>
          </w:tcPr>
          <w:p/>
          <w:p>
            <w:pPr/>
            <w:r>
              <w:rPr>
                <w:color w:val="FFFFFF"/>
              </w:rPr>
              <w:t>% PROTECTION</w:t>
            </w:r>
          </w:p>
        </w:tc>
        <w:tc>
          <w:tcPr>
            <w:tcW w:type="dxa" w:w="2322"/>
          </w:tcPr>
          <w:p/>
          <w:p>
            <w:pPr/>
            <w:r>
              <w:rPr>
                <w:color w:val="FFFFFF"/>
              </w:rPr>
              <w:t>DUREE DE PROTECTION</w:t>
            </w:r>
          </w:p>
        </w:tc>
      </w:tr>
      <w:tr>
        <w:tc>
          <w:tcPr>
            <w:tcW w:type="dxa" w:w="2322"/>
          </w:tcPr>
          <w:p/>
          <w:p>
            <w:pPr/>
            <w:r>
              <w:rPr>
                <w:color w:val="FFFFFF"/>
              </w:rPr>
              <w:t>VAT1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1</w:t>
            </w:r>
            <w:r>
              <w:rPr/>
              <w:t>er</w:t>
            </w:r>
            <w:r>
              <w:rPr/>
              <w:t xml:space="preserve"> contact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NEANT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NEANT</w:t>
            </w:r>
          </w:p>
        </w:tc>
      </w:tr>
      <w:tr>
        <w:tc>
          <w:tcPr>
            <w:tcW w:type="dxa" w:w="2322"/>
          </w:tcPr>
          <w:p/>
          <w:p>
            <w:pPr/>
            <w:r>
              <w:rPr>
                <w:color w:val="FFFFFF"/>
              </w:rPr>
              <w:t>VAT2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 xml:space="preserve">04 </w:t>
            </w:r>
            <w:r>
              <w:rPr/>
              <w:t>sem</w:t>
            </w:r>
            <w:r>
              <w:rPr/>
              <w:t xml:space="preserve"> après VAT1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80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03 Ans</w:t>
            </w:r>
          </w:p>
        </w:tc>
      </w:tr>
      <w:tr>
        <w:tc>
          <w:tcPr>
            <w:tcW w:type="dxa" w:w="2322"/>
          </w:tcPr>
          <w:p/>
          <w:p>
            <w:pPr/>
            <w:r>
              <w:rPr>
                <w:color w:val="FFFFFF"/>
              </w:rPr>
              <w:t>VAT3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6 mois après VAT 2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90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05 ans</w:t>
            </w:r>
          </w:p>
        </w:tc>
      </w:tr>
      <w:tr>
        <w:tc>
          <w:tcPr>
            <w:tcW w:type="dxa" w:w="2322"/>
          </w:tcPr>
          <w:p/>
          <w:p>
            <w:pPr/>
            <w:r>
              <w:rPr>
                <w:color w:val="FFFFFF"/>
              </w:rPr>
              <w:t>VAT4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01 an après VAT 3</w:t>
            </w:r>
            <w:r>
              <w:rPr/>
              <w:br/>
              <w:t>Grossesse suivante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99</w:t>
            </w:r>
          </w:p>
        </w:tc>
        <w:tc>
          <w:tcPr>
            <w:tcW w:type="dxa" w:w="2322"/>
          </w:tcPr>
          <w:p/>
          <w:p>
            <w:pPr>
              <w:jc w:val="center"/>
            </w:pPr>
            <w:r>
              <w:rPr/>
              <w:t>10 ans</w:t>
            </w:r>
          </w:p>
        </w:tc>
      </w:tr>
    </w:tbl>
    <w:p>
      <w:pPr/>
    </w:p>
    <w:p>
      <w:pPr>
        <w:pStyle w:val="Heading3"/>
      </w:pPr>
      <w:r>
        <w:rPr/>
        <w:t>Déparasitage</w:t>
      </w:r>
    </w:p>
    <w:p>
      <w:pPr>
        <w:numPr>
          <w:ilvl w:val="0"/>
          <w:numId w:val="41"/>
        </w:numPr>
      </w:pPr>
      <w:r>
        <w:rPr/>
        <w:t>Prévention de l’anémie</w:t>
      </w:r>
    </w:p>
    <w:p>
      <w:pPr>
        <w:numPr>
          <w:ilvl w:val="0"/>
          <w:numId w:val="41"/>
        </w:numPr>
      </w:pPr>
      <w:r>
        <w:rPr/>
        <w:t>Molécule utilisée :</w:t>
      </w:r>
    </w:p>
    <w:p>
      <w:pPr>
        <w:numPr>
          <w:ilvl w:val="1"/>
          <w:numId w:val="41"/>
        </w:numPr>
      </w:pPr>
      <w:r>
        <w:rPr/>
        <w:t>Mebendazole</w:t>
      </w:r>
      <w:r>
        <w:rPr/>
        <w:t xml:space="preserve"> 400 mg, 1 dose</w:t>
      </w:r>
    </w:p>
    <w:p>
      <w:pPr>
        <w:numPr>
          <w:ilvl w:val="0"/>
          <w:numId w:val="41"/>
        </w:numPr>
      </w:pPr>
      <w:r>
        <w:rPr/>
        <w:t>Effets secondaires : troubles digestifs, alopécie en traitement prolongé, effet tératogène non établi</w:t>
      </w:r>
    </w:p>
    <w:p>
      <w:pPr/>
    </w:p>
    <w:p>
      <w:pPr/>
      <w:r>
        <w:rPr>
          <w:i/>
        </w:rPr>
        <w:t xml:space="preserve">Actuellement en cours d’expérimentation : donner 5 </w:t>
      </w:r>
      <w:r>
        <w:rPr>
          <w:i/>
        </w:rPr>
        <w:t>cp</w:t>
      </w:r>
      <w:r>
        <w:rPr>
          <w:i/>
        </w:rPr>
        <w:t xml:space="preserve"> de Misoprostol 200µg à la </w:t>
      </w:r>
      <w:r>
        <w:rPr>
          <w:i/>
        </w:rPr>
        <w:t>femme;</w:t>
      </w:r>
      <w:r>
        <w:rPr>
          <w:i/>
        </w:rPr>
        <w:t xml:space="preserve"> en réserve, car provoque un effet de contraction plus ou moins permanente de l’utérus.</w:t>
      </w:r>
      <w:r>
        <w:rPr>
          <w:i/>
        </w:rPr>
        <w:br/>
        <w:t xml:space="preserve">Si elle accouche à domicile et s’il y a </w:t>
      </w:r>
      <w:r>
        <w:rPr>
          <w:i/>
        </w:rPr>
        <w:t>signe</w:t>
      </w:r>
      <w:r>
        <w:rPr>
          <w:i/>
        </w:rPr>
        <w:t xml:space="preserve"> d’hémorragie, on lui dit d’utiliser ces médicaments en </w:t>
      </w:r>
      <w:r>
        <w:rPr>
          <w:i/>
        </w:rPr>
        <w:t>Intra-rectal</w:t>
      </w:r>
      <w:r>
        <w:rPr/>
      </w:r>
      <w:r>
        <w:rPr>
          <w:i/>
        </w:rPr>
        <w:t xml:space="preserve"> (par la </w:t>
      </w:r>
      <w:r>
        <w:rPr>
          <w:i/>
        </w:rPr>
        <w:t>matronne</w:t>
      </w:r>
      <w:r>
        <w:rPr>
          <w:i/>
        </w:rPr>
        <w:t>). Arrête l’hémorragie en cas d’atonie utérine</w:t>
      </w:r>
    </w:p>
    <w:p>
      <w:pPr/>
    </w:p>
    <w:p>
      <w:pPr>
        <w:pStyle w:val="Heading2"/>
      </w:pPr>
      <w:r>
        <w:rPr/>
        <w:t>INDICATIONS</w:t>
      </w:r>
    </w:p>
    <w:p>
      <w:pPr>
        <w:numPr>
          <w:ilvl w:val="0"/>
          <w:numId w:val="42"/>
        </w:numPr>
      </w:pPr>
      <w:r>
        <w:rPr/>
        <w:t>Au T1 : début calendrier vaccinal VAT (10 - 15SA)</w:t>
      </w:r>
    </w:p>
    <w:p>
      <w:pPr>
        <w:numPr>
          <w:ilvl w:val="0"/>
          <w:numId w:val="42"/>
        </w:numPr>
      </w:pPr>
      <w:r>
        <w:rPr/>
        <w:t xml:space="preserve">Au T2 : </w:t>
      </w:r>
    </w:p>
    <w:p>
      <w:pPr>
        <w:numPr>
          <w:ilvl w:val="1"/>
          <w:numId w:val="42"/>
        </w:numPr>
      </w:pPr>
      <w:r>
        <w:rPr/>
        <w:t xml:space="preserve">2 doses de TPI à 1 mois d’intervalle dès </w:t>
      </w:r>
      <w:r>
        <w:rPr/>
        <w:t xml:space="preserve">les premiers MAF </w:t>
      </w:r>
      <w:r>
        <w:rPr/>
      </w:r>
      <w:r>
        <w:rPr/>
        <w:t xml:space="preserve">(mouvements actifs </w:t>
      </w:r>
      <w:r>
        <w:rPr/>
        <w:t>foetaux</w:t>
      </w:r>
      <w:r>
        <w:rPr/>
        <w:t>), 3</w:t>
      </w:r>
      <w:r>
        <w:rPr/>
        <w:t>ème</w:t>
      </w:r>
      <w:r>
        <w:rPr/>
        <w:t xml:space="preserve"> si VIH (+)</w:t>
      </w:r>
    </w:p>
    <w:p>
      <w:pPr>
        <w:numPr>
          <w:ilvl w:val="0"/>
          <w:numId w:val="42"/>
        </w:numPr>
      </w:pPr>
      <w:r>
        <w:rPr/>
        <w:t>Au T3 :</w:t>
      </w:r>
    </w:p>
    <w:p>
      <w:pPr>
        <w:numPr>
          <w:ilvl w:val="1"/>
          <w:numId w:val="42"/>
        </w:numPr>
      </w:pPr>
      <w:r>
        <w:rPr/>
        <w:t>Supplémentation FAF dès 28 SA à poursuivre pendant l’allaitement</w:t>
      </w:r>
      <w:r>
        <w:rPr/>
      </w:r>
    </w:p>
    <w:p>
      <w:pPr>
        <w:numPr>
          <w:ilvl w:val="1"/>
          <w:numId w:val="42"/>
        </w:numPr>
      </w:pPr>
      <w:r>
        <w:rPr/>
        <w:t xml:space="preserve">Déparasitage 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43"/>
        </w:numPr>
      </w:pPr>
      <w:r>
        <w:rPr/>
        <w:t>Programmes visant à réduire les taux de décès maternels et infantiles</w:t>
      </w:r>
    </w:p>
    <w:p>
      <w:pPr>
        <w:numPr>
          <w:ilvl w:val="0"/>
          <w:numId w:val="43"/>
        </w:numPr>
      </w:pPr>
      <w:r>
        <w:rPr/>
        <w:t>Financement assurés</w:t>
      </w:r>
      <w:r>
        <w:rPr/>
        <w:t xml:space="preserve"> par des partenaires</w:t>
      </w:r>
    </w:p>
    <w:p>
      <w:pPr>
        <w:numPr>
          <w:ilvl w:val="0"/>
          <w:numId w:val="43"/>
        </w:numPr>
      </w:pPr>
      <w:r>
        <w:rPr/>
        <w:t>Importance de l’adhésion des prestataires de soin et de la patiente : IEC +++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