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 xml:space="preserve">AHAI </w:t>
      </w:r>
      <w:r>
        <w:rPr/>
        <w:t>ASSOCIEES A DES AGGLUTININES FROIDES</w:t>
      </w:r>
    </w:p>
    <w:p>
      <w:pPr>
        <w:pStyle w:val="Heading2"/>
      </w:pPr>
      <w:r>
        <w:rPr>
          <w:rFonts w:ascii="Times New Roman" w:hAnsi="Times New Roman"/>
        </w:rPr>
        <w:t>CLINIQUE</w:t>
      </w:r>
    </w:p>
    <w:p>
      <w:pPr>
        <w:pStyle w:val="Heading3"/>
      </w:pPr>
      <w:r>
        <w:rPr>
          <w:rFonts w:ascii="Times New Roman" w:hAnsi="Times New Roman"/>
        </w:rPr>
        <w:t>HÉMOLYSE EXTRAVASCULAIRE</w:t>
      </w:r>
    </w:p>
    <w:p>
      <w:pPr/>
      <w:r>
        <w:rPr>
          <w:rFonts w:ascii="Times New Roman" w:hAnsi="Times New Roman"/>
        </w:rPr>
        <w:tab/>
        <w:t>La plus courante, la plus classique</w:t>
      </w:r>
    </w:p>
    <w:p>
      <w:pPr>
        <w:numPr>
          <w:ilvl w:val="0"/>
          <w:numId w:val="19"/>
        </w:numPr>
      </w:pPr>
      <w:r>
        <w:rPr>
          <w:rFonts w:ascii="Times New Roman" w:hAnsi="Times New Roman"/>
        </w:rPr>
        <w:t>Anémie</w:t>
      </w:r>
    </w:p>
    <w:p>
      <w:pPr>
        <w:numPr>
          <w:ilvl w:val="0"/>
          <w:numId w:val="19"/>
        </w:numPr>
      </w:pPr>
      <w:r>
        <w:rPr>
          <w:rFonts w:ascii="Times New Roman" w:hAnsi="Times New Roman"/>
        </w:rPr>
        <w:t xml:space="preserve">Ictère avec urines et selles foncées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anémie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hémolytique :</w:t>
      </w:r>
      <w:r>
        <w:rPr>
          <w:rFonts w:ascii="Times New Roman" w:hAnsi="Times New Roman"/>
          <w:i/>
        </w:rPr>
        <w:t xml:space="preserve"> pas de changement de couleur </w:t>
      </w:r>
      <w:r>
        <w:rPr>
          <w:rFonts w:ascii="Times New Roman" w:hAnsi="Times New Roman"/>
          <w:i/>
        </w:rPr>
        <w:t>satria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tsy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misy</w:t>
      </w:r>
      <w:r>
        <w:rPr>
          <w:rFonts w:ascii="Times New Roman" w:hAnsi="Times New Roman"/>
          <w:i/>
        </w:rPr>
        <w:t xml:space="preserve"> cholestérol) </w:t>
      </w:r>
    </w:p>
    <w:p>
      <w:pPr>
        <w:numPr>
          <w:ilvl w:val="0"/>
          <w:numId w:val="19"/>
        </w:numPr>
      </w:pPr>
      <w:r>
        <w:rPr>
          <w:rFonts w:ascii="Times New Roman" w:hAnsi="Times New Roman"/>
        </w:rPr>
        <w:t>Splénomégalie constante</w:t>
      </w:r>
    </w:p>
    <w:p>
      <w:pPr/>
    </w:p>
    <w:p>
      <w:pPr>
        <w:pStyle w:val="Heading3"/>
      </w:pPr>
      <w:r>
        <w:rPr>
          <w:rFonts w:ascii="Times New Roman" w:hAnsi="Times New Roman"/>
        </w:rPr>
        <w:t>HEMOLYSE INTRAVASCULAIRE</w:t>
      </w:r>
    </w:p>
    <w:p>
      <w:pPr>
        <w:numPr>
          <w:ilvl w:val="0"/>
          <w:numId w:val="20"/>
        </w:numPr>
      </w:pPr>
      <w:r>
        <w:rPr>
          <w:rFonts w:ascii="Times New Roman" w:hAnsi="Times New Roman"/>
        </w:rPr>
        <w:t>Taux élevé d'Ig</w:t>
      </w:r>
      <w:r>
        <w:rPr>
          <w:rFonts w:ascii="Times New Roman" w:hAnsi="Times New Roman"/>
        </w:rPr>
        <w:t>M</w:t>
      </w:r>
    </w:p>
    <w:p>
      <w:pPr>
        <w:numPr>
          <w:ilvl w:val="0"/>
          <w:numId w:val="20"/>
        </w:numPr>
      </w:pPr>
      <w:r>
        <w:rPr>
          <w:rFonts w:ascii="Times New Roman" w:hAnsi="Times New Roman"/>
        </w:rPr>
        <w:t>Début brusque</w:t>
      </w:r>
    </w:p>
    <w:p>
      <w:pPr>
        <w:numPr>
          <w:ilvl w:val="1"/>
          <w:numId w:val="20"/>
        </w:numPr>
      </w:pPr>
      <w:r>
        <w:rPr>
          <w:rFonts w:ascii="Times New Roman" w:hAnsi="Times New Roman"/>
        </w:rPr>
        <w:t>Algies diffuses(</w:t>
      </w:r>
      <w:r>
        <w:rPr>
          <w:rFonts w:ascii="Times New Roman" w:hAnsi="Times New Roman"/>
        </w:rPr>
        <w:t>abdomino</w:t>
      </w:r>
      <w:r>
        <w:rPr>
          <w:rFonts w:ascii="Times New Roman" w:hAnsi="Times New Roman"/>
        </w:rPr>
        <w:t xml:space="preserve">-lombaires) </w:t>
      </w:r>
    </w:p>
    <w:p>
      <w:pPr>
        <w:numPr>
          <w:ilvl w:val="1"/>
          <w:numId w:val="20"/>
        </w:numPr>
      </w:pPr>
      <w:r>
        <w:rPr>
          <w:rFonts w:ascii="Times New Roman" w:hAnsi="Times New Roman"/>
        </w:rPr>
        <w:t>Etat de choc</w:t>
      </w:r>
    </w:p>
    <w:p>
      <w:pPr>
        <w:numPr>
          <w:ilvl w:val="1"/>
          <w:numId w:val="20"/>
        </w:numPr>
      </w:pPr>
      <w:r>
        <w:rPr>
          <w:rFonts w:ascii="Times New Roman" w:hAnsi="Times New Roman"/>
        </w:rPr>
        <w:t xml:space="preserve">Urines très </w:t>
      </w:r>
      <w:r>
        <w:rPr>
          <w:rFonts w:ascii="Times New Roman" w:hAnsi="Times New Roman"/>
        </w:rPr>
        <w:t>foncées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hémoglobinurie</w:t>
      </w:r>
    </w:p>
    <w:p>
      <w:pPr>
        <w:numPr>
          <w:ilvl w:val="1"/>
          <w:numId w:val="20"/>
        </w:numPr>
      </w:pPr>
      <w:r>
        <w:rPr>
          <w:rFonts w:ascii="Times New Roman" w:hAnsi="Times New Roman"/>
        </w:rPr>
        <w:t>Hyperurémie</w:t>
      </w:r>
      <w:r>
        <w:rPr>
          <w:rFonts w:ascii="Times New Roman" w:hAnsi="Times New Roman"/>
        </w:rPr>
        <w:t xml:space="preserve">, hémoglobinémie, anémie </w:t>
      </w:r>
      <w:r>
        <w:rPr>
          <w:rFonts w:ascii="Times New Roman" w:hAnsi="Times New Roman"/>
        </w:rPr>
        <w:t>régénérative</w:t>
      </w:r>
    </w:p>
    <w:p>
      <w:pPr/>
    </w:p>
    <w:p>
      <w:pPr>
        <w:pStyle w:val="Heading2"/>
      </w:pPr>
      <w:r>
        <w:rPr>
          <w:rFonts w:ascii="Times New Roman" w:hAnsi="Times New Roman"/>
        </w:rPr>
        <w:t>DIAGNOSTIC BIOLOGIQUE</w:t>
      </w:r>
    </w:p>
    <w:p>
      <w:pPr>
        <w:numPr>
          <w:ilvl w:val="0"/>
          <w:numId w:val="21"/>
        </w:numPr>
      </w:pPr>
      <w:r>
        <w:rPr>
          <w:rFonts w:ascii="Times New Roman" w:hAnsi="Times New Roman"/>
          <w:b/>
        </w:rPr>
        <w:t>Hémolyse</w:t>
      </w:r>
    </w:p>
    <w:p>
      <w:pPr>
        <w:numPr>
          <w:ilvl w:val="0"/>
          <w:numId w:val="21"/>
        </w:numPr>
      </w:pPr>
      <w:r>
        <w:rPr>
          <w:rFonts w:ascii="Times New Roman" w:hAnsi="Times New Roman"/>
          <w:b/>
        </w:rPr>
        <w:t>Origine auto-immune de l'hémolyse</w:t>
      </w:r>
    </w:p>
    <w:p>
      <w:pPr>
        <w:numPr>
          <w:ilvl w:val="1"/>
          <w:numId w:val="21"/>
        </w:numPr>
      </w:pPr>
      <w:r>
        <w:rPr>
          <w:rFonts w:ascii="Times New Roman" w:hAnsi="Times New Roman"/>
        </w:rPr>
        <w:t xml:space="preserve">Test de Coombs avec </w:t>
      </w:r>
      <w:r>
        <w:rPr>
          <w:rFonts w:ascii="Times New Roman" w:hAnsi="Times New Roman"/>
        </w:rPr>
        <w:t>anti globuline</w:t>
      </w:r>
    </w:p>
    <w:p>
      <w:pPr>
        <w:numPr>
          <w:ilvl w:val="2"/>
          <w:numId w:val="21"/>
        </w:numPr>
      </w:pPr>
      <w:r>
        <w:rPr>
          <w:rFonts w:ascii="Times New Roman" w:hAnsi="Times New Roman"/>
        </w:rPr>
        <w:t xml:space="preserve">TC </w:t>
      </w:r>
      <w:r>
        <w:rPr>
          <w:rFonts w:ascii="Times New Roman" w:hAnsi="Times New Roman"/>
        </w:rPr>
        <w:t>direct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fixés sur GR</w:t>
      </w:r>
    </w:p>
    <w:p>
      <w:pPr>
        <w:numPr>
          <w:ilvl w:val="2"/>
          <w:numId w:val="21"/>
        </w:numPr>
      </w:pPr>
      <w:r>
        <w:rPr>
          <w:rFonts w:ascii="Times New Roman" w:hAnsi="Times New Roman"/>
        </w:rPr>
        <w:t xml:space="preserve">TC </w:t>
      </w:r>
      <w:r>
        <w:rPr>
          <w:rFonts w:ascii="Times New Roman" w:hAnsi="Times New Roman"/>
        </w:rPr>
        <w:t>indirect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dans le sérum</w:t>
      </w:r>
    </w:p>
    <w:p>
      <w:pPr>
        <w:numPr>
          <w:ilvl w:val="2"/>
          <w:numId w:val="21"/>
        </w:numPr>
      </w:pPr>
      <w:r>
        <w:rPr>
          <w:rFonts w:ascii="Times New Roman" w:hAnsi="Times New Roman"/>
        </w:rPr>
        <w:t>Quantitatif</w:t>
      </w:r>
    </w:p>
    <w:p>
      <w:pPr>
        <w:numPr>
          <w:ilvl w:val="0"/>
          <w:numId w:val="21"/>
        </w:numPr>
      </w:pPr>
      <w:r>
        <w:rPr>
          <w:rFonts w:ascii="Times New Roman" w:hAnsi="Times New Roman"/>
          <w:b/>
        </w:rPr>
        <w:t>Spécificité des auto-</w:t>
      </w:r>
      <w:r>
        <w:rPr>
          <w:rFonts w:ascii="Times New Roman" w:hAnsi="Times New Roman"/>
          <w:b/>
        </w:rPr>
        <w:t>Ac</w:t>
      </w:r>
    </w:p>
    <w:p>
      <w:pPr>
        <w:numPr>
          <w:ilvl w:val="1"/>
          <w:numId w:val="21"/>
        </w:numPr>
      </w:pPr>
      <w:r>
        <w:rPr>
          <w:rFonts w:ascii="Times New Roman" w:hAnsi="Times New Roman"/>
        </w:rPr>
        <w:t>Nature IgM</w:t>
      </w:r>
    </w:p>
    <w:p>
      <w:pPr>
        <w:numPr>
          <w:ilvl w:val="1"/>
          <w:numId w:val="21"/>
        </w:numPr>
      </w:pPr>
      <w:r>
        <w:rPr>
          <w:rFonts w:ascii="Times New Roman" w:hAnsi="Times New Roman"/>
        </w:rPr>
        <w:t>Caractères complets</w:t>
      </w:r>
    </w:p>
    <w:p>
      <w:pPr>
        <w:numPr>
          <w:ilvl w:val="1"/>
          <w:numId w:val="21"/>
        </w:numPr>
      </w:pPr>
      <w:r>
        <w:rPr>
          <w:rFonts w:ascii="Times New Roman" w:hAnsi="Times New Roman"/>
        </w:rPr>
        <w:t xml:space="preserve">Spécificité anti Rh ou </w:t>
      </w:r>
      <w:r>
        <w:rPr>
          <w:rFonts w:ascii="Times New Roman" w:hAnsi="Times New Roman"/>
        </w:rPr>
        <w:t>anti-I</w:t>
      </w:r>
    </w:p>
    <w:p>
      <w:pPr>
        <w:numPr>
          <w:ilvl w:val="2"/>
          <w:numId w:val="21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agglutinants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froids ou complets</w:t>
      </w:r>
    </w:p>
    <w:p>
      <w:pPr/>
    </w:p>
    <w:p>
      <w:pPr>
        <w:pStyle w:val="Heading2"/>
      </w:pPr>
      <w:r>
        <w:rPr>
          <w:rFonts w:ascii="Times New Roman" w:hAnsi="Times New Roman"/>
        </w:rPr>
        <w:t>ETIOLOGIES</w:t>
      </w:r>
    </w:p>
    <w:p>
      <w:pPr>
        <w:numPr>
          <w:ilvl w:val="0"/>
          <w:numId w:val="22"/>
        </w:numPr>
      </w:pPr>
      <w:r>
        <w:rPr>
          <w:rFonts w:ascii="Times New Roman" w:hAnsi="Times New Roman"/>
          <w:b/>
        </w:rPr>
        <w:t>Secondaire à maladie primitive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 xml:space="preserve">Infections aiguës saisonnières après 2-3 semaines du </w:t>
      </w:r>
      <w:r>
        <w:rPr>
          <w:rFonts w:ascii="Times New Roman" w:hAnsi="Times New Roman"/>
        </w:rPr>
        <w:t>début :</w:t>
      </w:r>
      <w:r>
        <w:rPr>
          <w:rFonts w:ascii="Times New Roman" w:hAnsi="Times New Roman"/>
        </w:rPr>
        <w:t xml:space="preserve"> pneumopathies virales, MNI, ornithose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>LED ou autre affection voisine (collagénose) : anémie + thrombopénie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 xml:space="preserve">Syndromes lymphoprolifératifs (LLC, lymphome) </w:t>
      </w:r>
    </w:p>
    <w:p>
      <w:pPr>
        <w:numPr>
          <w:ilvl w:val="1"/>
          <w:numId w:val="22"/>
        </w:numPr>
      </w:pPr>
      <w:r>
        <w:rPr>
          <w:rFonts w:ascii="Times New Roman" w:hAnsi="Times New Roman"/>
        </w:rPr>
        <w:t>Médicaments :</w:t>
      </w:r>
      <w:r>
        <w:rPr>
          <w:rFonts w:ascii="Times New Roman" w:hAnsi="Times New Roman"/>
        </w:rPr>
        <w:t xml:space="preserve"> alpha </w:t>
      </w:r>
      <w:r>
        <w:rPr>
          <w:rFonts w:ascii="Times New Roman" w:hAnsi="Times New Roman"/>
        </w:rPr>
        <w:t>méthyl</w:t>
      </w:r>
      <w:r>
        <w:rPr>
          <w:rFonts w:ascii="Times New Roman" w:hAnsi="Times New Roman"/>
        </w:rPr>
        <w:t xml:space="preserve"> dopa</w:t>
      </w:r>
    </w:p>
    <w:p>
      <w:pPr>
        <w:numPr>
          <w:ilvl w:val="0"/>
          <w:numId w:val="22"/>
        </w:numPr>
      </w:pPr>
      <w:r>
        <w:rPr>
          <w:rFonts w:ascii="Times New Roman" w:hAnsi="Times New Roman"/>
          <w:b/>
        </w:rPr>
        <w:t>Idiopathique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: </w:t>
      </w:r>
      <w:r>
        <w:rPr>
          <w:rFonts w:ascii="Times New Roman" w:hAnsi="Times New Roman"/>
        </w:rPr>
        <w:t>aigue ou chronique</w:t>
      </w:r>
    </w:p>
    <w:p>
      <w:pPr/>
    </w:p>
    <w:p>
      <w:pPr>
        <w:pStyle w:val="Heading2"/>
      </w:pPr>
      <w:r>
        <w:rPr>
          <w:rFonts w:ascii="Times New Roman" w:hAnsi="Times New Roman"/>
        </w:rPr>
        <w:t>TRAITEMENT</w:t>
      </w:r>
    </w:p>
    <w:p>
      <w:pPr>
        <w:pStyle w:val="Heading3"/>
      </w:pPr>
      <w:r>
        <w:rPr/>
        <w:t>BUTS</w:t>
      </w:r>
    </w:p>
    <w:p>
      <w:pPr>
        <w:numPr>
          <w:ilvl w:val="1"/>
          <w:numId w:val="23"/>
        </w:numPr>
      </w:pPr>
      <w:r>
        <w:rPr>
          <w:rFonts w:ascii="Times New Roman" w:hAnsi="Times New Roman"/>
        </w:rPr>
        <w:t>Diminuer ou supprimer les auto-</w:t>
      </w:r>
      <w:r>
        <w:rPr>
          <w:rFonts w:ascii="Times New Roman" w:hAnsi="Times New Roman"/>
        </w:rPr>
        <w:t>Ac</w:t>
      </w:r>
    </w:p>
    <w:p>
      <w:pPr>
        <w:numPr>
          <w:ilvl w:val="1"/>
          <w:numId w:val="23"/>
        </w:numPr>
      </w:pPr>
      <w:r>
        <w:rPr>
          <w:rFonts w:ascii="Times New Roman" w:hAnsi="Times New Roman"/>
        </w:rPr>
        <w:t>Corriger l'anémie</w:t>
      </w:r>
    </w:p>
    <w:p>
      <w:pPr>
        <w:numPr>
          <w:ilvl w:val="1"/>
          <w:numId w:val="23"/>
        </w:numPr>
      </w:pPr>
      <w:r>
        <w:rPr>
          <w:rFonts w:ascii="Times New Roman" w:hAnsi="Times New Roman"/>
        </w:rPr>
        <w:t>Traiter la cause</w:t>
      </w:r>
    </w:p>
    <w:p>
      <w:pPr>
        <w:pStyle w:val="Heading3"/>
      </w:pPr>
      <w:r>
        <w:rPr/>
        <w:t>TRAITEMENT DE FOND</w:t>
      </w:r>
    </w:p>
    <w:p>
      <w:pPr>
        <w:pStyle w:val="Heading4"/>
      </w:pPr>
      <w:r>
        <w:rPr/>
        <w:t>Corticothérapie :</w:t>
      </w:r>
      <w:r>
        <w:rPr/>
        <w:t xml:space="preserve"> 1ère étape</w:t>
      </w:r>
    </w:p>
    <w:p>
      <w:pPr>
        <w:numPr>
          <w:ilvl w:val="2"/>
          <w:numId w:val="23"/>
        </w:numPr>
      </w:pPr>
      <w:r>
        <w:rPr>
          <w:rFonts w:ascii="Times New Roman" w:hAnsi="Times New Roman"/>
        </w:rPr>
        <w:t>2mg/kg/j</w:t>
      </w:r>
    </w:p>
    <w:p>
      <w:pPr>
        <w:numPr>
          <w:ilvl w:val="2"/>
          <w:numId w:val="23"/>
        </w:numPr>
      </w:pPr>
      <w:r>
        <w:rPr>
          <w:rFonts w:ascii="Times New Roman" w:hAnsi="Times New Roman"/>
        </w:rPr>
        <w:t xml:space="preserve">Prolonger plusieurs mois jusqu'à une amélioration clinique, diminution progressive jusqu'à la dose seuil (entretien) </w:t>
      </w:r>
    </w:p>
    <w:p>
      <w:pPr>
        <w:pStyle w:val="Heading4"/>
      </w:pPr>
      <w:r>
        <w:rPr/>
        <w:t>Splénectomie :</w:t>
      </w:r>
      <w:r>
        <w:rPr/>
        <w:t xml:space="preserve"> 2è étape (envisagé si échec de la corticothérapie) </w:t>
      </w:r>
    </w:p>
    <w:p>
      <w:pPr>
        <w:numPr>
          <w:ilvl w:val="2"/>
          <w:numId w:val="23"/>
        </w:numPr>
      </w:pPr>
      <w:r>
        <w:rPr>
          <w:rFonts w:ascii="Times New Roman" w:hAnsi="Times New Roman"/>
        </w:rPr>
        <w:t>Efficace si forte séquestration splénique</w:t>
      </w:r>
    </w:p>
    <w:p>
      <w:pPr>
        <w:numPr>
          <w:ilvl w:val="2"/>
          <w:numId w:val="23"/>
        </w:numPr>
      </w:pPr>
      <w:r>
        <w:rPr>
          <w:rFonts w:ascii="Times New Roman" w:hAnsi="Times New Roman"/>
        </w:rPr>
        <w:t xml:space="preserve">Améliore l'effet de la corticothérapie </w:t>
      </w:r>
    </w:p>
    <w:p>
      <w:pPr>
        <w:pStyle w:val="Heading4"/>
      </w:pPr>
      <w:r>
        <w:rPr/>
        <w:t>Immunosuppresseurs :</w:t>
      </w:r>
      <w:r>
        <w:rPr/>
        <w:t xml:space="preserve"> 3è étape</w:t>
      </w:r>
    </w:p>
    <w:p>
      <w:pPr>
        <w:numPr>
          <w:ilvl w:val="2"/>
          <w:numId w:val="23"/>
        </w:numPr>
      </w:pPr>
      <w:r>
        <w:rPr>
          <w:rFonts w:ascii="Times New Roman" w:hAnsi="Times New Roman"/>
        </w:rPr>
        <w:t>Azathioprine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Immurel</w:t>
      </w:r>
      <w:r>
        <w:rPr>
          <w:rFonts w:ascii="Times New Roman" w:hAnsi="Times New Roman"/>
        </w:rPr>
        <w:t>*) 2-4mg/kg/j</w:t>
      </w:r>
    </w:p>
    <w:p>
      <w:pPr>
        <w:numPr>
          <w:ilvl w:val="2"/>
          <w:numId w:val="23"/>
        </w:numPr>
      </w:pPr>
      <w:r>
        <w:rPr>
          <w:rFonts w:ascii="Times New Roman" w:hAnsi="Times New Roman"/>
        </w:rPr>
        <w:t>Cyclophosphamide (</w:t>
      </w:r>
      <w:r>
        <w:rPr>
          <w:rFonts w:ascii="Times New Roman" w:hAnsi="Times New Roman"/>
        </w:rPr>
        <w:t>Endoxan</w:t>
      </w:r>
      <w:r>
        <w:rPr>
          <w:rFonts w:ascii="Times New Roman" w:hAnsi="Times New Roman"/>
        </w:rPr>
        <w:t>*) 50mg/m2/j</w:t>
      </w:r>
    </w:p>
    <w:p>
      <w:pPr>
        <w:numPr>
          <w:ilvl w:val="2"/>
          <w:numId w:val="23"/>
        </w:numPr>
      </w:pPr>
      <w:r>
        <w:rPr>
          <w:rFonts w:ascii="Times New Roman" w:hAnsi="Times New Roman"/>
        </w:rPr>
        <w:t>Prolongés jusqu'à la dose minimum efficace</w:t>
      </w:r>
    </w:p>
    <w:p>
      <w:pPr>
        <w:numPr>
          <w:ilvl w:val="2"/>
          <w:numId w:val="23"/>
        </w:numPr>
      </w:pPr>
      <w:r>
        <w:rPr>
          <w:rFonts w:ascii="Times New Roman" w:hAnsi="Times New Roman"/>
        </w:rPr>
        <w:t xml:space="preserve">Arrêtés si </w:t>
      </w:r>
      <w:r>
        <w:rPr>
          <w:rFonts w:ascii="Times New Roman" w:hAnsi="Times New Roman"/>
          <w:b/>
        </w:rPr>
        <w:t>neutropénie</w:t>
      </w:r>
    </w:p>
    <w:p>
      <w:pPr>
        <w:numPr>
          <w:ilvl w:val="2"/>
          <w:numId w:val="23"/>
        </w:numPr>
      </w:pPr>
      <w:r>
        <w:rPr>
          <w:rFonts w:ascii="Times New Roman" w:hAnsi="Times New Roman"/>
        </w:rPr>
        <w:t>Danazol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</w:rPr>
        <w:t xml:space="preserve">antilépreux, immunosuppresseur) </w:t>
      </w:r>
    </w:p>
    <w:p>
      <w:pPr>
        <w:numPr>
          <w:ilvl w:val="3"/>
          <w:numId w:val="23"/>
        </w:numPr>
      </w:pPr>
      <w:r>
        <w:rPr>
          <w:rFonts w:ascii="Times New Roman" w:hAnsi="Times New Roman"/>
        </w:rPr>
        <w:t>600mg/j</w:t>
      </w:r>
    </w:p>
    <w:p>
      <w:pPr>
        <w:numPr>
          <w:ilvl w:val="2"/>
          <w:numId w:val="23"/>
        </w:numPr>
      </w:pPr>
      <w:r>
        <w:rPr>
          <w:rFonts w:ascii="Times New Roman" w:hAnsi="Times New Roman"/>
          <w:b/>
        </w:rPr>
        <w:t xml:space="preserve">Les anticorps anti-CD20 (rituximab) </w:t>
      </w:r>
      <w:r>
        <w:rPr>
          <w:rFonts w:ascii="Times New Roman" w:hAnsi="Times New Roman"/>
          <w:i/>
        </w:rPr>
        <w:t>Thérapie ciblée</w:t>
      </w:r>
    </w:p>
    <w:p>
      <w:pPr>
        <w:numPr>
          <w:ilvl w:val="3"/>
          <w:numId w:val="23"/>
        </w:numPr>
      </w:pPr>
      <w:r>
        <w:rPr>
          <w:rFonts w:ascii="Times New Roman" w:hAnsi="Times New Roman"/>
        </w:rPr>
        <w:t>Pas de risque infectieux</w:t>
      </w:r>
    </w:p>
    <w:p>
      <w:pPr>
        <w:numPr>
          <w:ilvl w:val="3"/>
          <w:numId w:val="23"/>
        </w:numPr>
      </w:pPr>
      <w:r>
        <w:rPr>
          <w:rFonts w:ascii="Times New Roman" w:hAnsi="Times New Roman"/>
        </w:rPr>
        <w:t>Pas de risque de cytopénie</w:t>
      </w:r>
    </w:p>
    <w:p>
      <w:pPr>
        <w:pStyle w:val="Heading3"/>
      </w:pPr>
      <w:r>
        <w:rPr/>
        <w:t>TRAITEMENT SYMPTOMATIQUE</w:t>
      </w:r>
    </w:p>
    <w:p>
      <w:pPr>
        <w:numPr>
          <w:ilvl w:val="1"/>
          <w:numId w:val="23"/>
        </w:numPr>
      </w:pPr>
      <w:r>
        <w:rPr>
          <w:rFonts w:ascii="Times New Roman" w:hAnsi="Times New Roman"/>
        </w:rPr>
        <w:t>Transfusion sanguine</w:t>
      </w:r>
    </w:p>
    <w:p>
      <w:pPr>
        <w:numPr>
          <w:ilvl w:val="1"/>
          <w:numId w:val="23"/>
        </w:numPr>
      </w:pPr>
      <w:r>
        <w:rPr>
          <w:rFonts w:ascii="Times New Roman" w:hAnsi="Times New Roman"/>
        </w:rPr>
        <w:t>Se méfier de la surcharge</w:t>
      </w:r>
    </w:p>
    <w:p>
      <w:pPr>
        <w:numPr>
          <w:ilvl w:val="1"/>
          <w:numId w:val="23"/>
        </w:numPr>
      </w:pPr>
      <w:r>
        <w:rPr>
          <w:rFonts w:ascii="Times New Roman" w:hAnsi="Times New Roman"/>
        </w:rPr>
        <w:t>Toujours essayer d'effectuer un traitement étiologique</w:t>
      </w:r>
    </w:p>
    <w:p>
      <w:pPr/>
    </w:p>
    <w:p>
      <w:pPr>
        <w:pStyle w:val="Heading3"/>
      </w:pPr>
      <w:r>
        <w:rPr/>
        <w:t xml:space="preserve">Cas </w:t>
      </w:r>
      <w:r>
        <w:rPr/>
        <w:t>particulier :</w:t>
      </w:r>
      <w:r>
        <w:rPr/>
        <w:t xml:space="preserve"> Auto </w:t>
      </w:r>
      <w:r>
        <w:rPr/>
        <w:t>Ac</w:t>
      </w:r>
      <w:r>
        <w:rPr/>
        <w:t xml:space="preserve"> froids</w:t>
      </w:r>
    </w:p>
    <w:p>
      <w:pPr>
        <w:numPr>
          <w:ilvl w:val="0"/>
          <w:numId w:val="24"/>
        </w:numPr>
      </w:pPr>
      <w:r>
        <w:rPr>
          <w:rFonts w:ascii="Times New Roman" w:hAnsi="Times New Roman"/>
        </w:rPr>
        <w:t xml:space="preserve">Eviter </w:t>
      </w:r>
      <w:r>
        <w:rPr>
          <w:rFonts w:ascii="Times New Roman" w:hAnsi="Times New Roman"/>
        </w:rPr>
        <w:t>le froid</w:t>
      </w:r>
    </w:p>
    <w:p>
      <w:pPr>
        <w:numPr>
          <w:ilvl w:val="0"/>
          <w:numId w:val="24"/>
        </w:numPr>
      </w:pPr>
      <w:r>
        <w:rPr>
          <w:rFonts w:ascii="Times New Roman" w:hAnsi="Times New Roman"/>
        </w:rPr>
        <w:t>Transfusion de CGR réchauffés</w:t>
      </w:r>
    </w:p>
    <w:p>
      <w:pPr>
        <w:numPr>
          <w:ilvl w:val="0"/>
          <w:numId w:val="24"/>
        </w:numPr>
      </w:pPr>
      <w:r>
        <w:rPr>
          <w:rFonts w:ascii="Times New Roman" w:hAnsi="Times New Roman"/>
        </w:rPr>
        <w:t>Echanges plasmatiques possible à essayer</w:t>
      </w:r>
    </w:p>
    <w:p>
      <w:pPr>
        <w:numPr>
          <w:ilvl w:val="0"/>
          <w:numId w:val="24"/>
        </w:numPr>
      </w:pPr>
      <w:r>
        <w:rPr>
          <w:rFonts w:ascii="Times New Roman" w:hAnsi="Times New Roman"/>
        </w:rPr>
        <w:t>Corticoïdes, splénectomie, agents alkylants</w:t>
      </w:r>
    </w:p>
    <w:p>
      <w:pPr>
        <w:numPr>
          <w:ilvl w:val="0"/>
          <w:numId w:val="24"/>
        </w:numPr>
      </w:pPr>
      <w:r>
        <w:rPr>
          <w:rFonts w:ascii="Times New Roman" w:hAnsi="Times New Roman"/>
        </w:rPr>
        <w:t>Rituximab</w:t>
      </w:r>
    </w:p>
    <w:p>
      <w:pPr/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