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ANÉMIE HÉMOLYTIQUE À AUTO-ANTICORPS (AHAI)</w:t>
      </w:r>
      <w:r>
        <w:rPr/>
        <w:t xml:space="preserve"> </w:t>
      </w:r>
    </w:p>
    <w:p>
      <w:pPr>
        <w:pStyle w:val="Heading2"/>
      </w:pPr>
      <w:r>
        <w:rPr>
          <w:rFonts w:ascii="Times New Roman" w:hAnsi="Times New Roman"/>
        </w:rPr>
        <w:t>GÉNÉRALITÉS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>Pathologie complexe, polymorphe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 xml:space="preserve">Production d'anticorps contre des Antigènes propres des hématies : 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Décélables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in vitro, </w:t>
      </w:r>
      <w:r>
        <w:rPr>
          <w:rFonts w:ascii="Times New Roman" w:hAnsi="Times New Roman"/>
        </w:rPr>
        <w:t>dirigés contre les antigènes de groupe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>Clinique par la présence d'auto-anticorps</w:t>
      </w:r>
    </w:p>
    <w:p>
      <w:pPr/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Incidence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 xml:space="preserve">Plusieurs entités </w:t>
      </w:r>
      <w:r>
        <w:rPr>
          <w:rFonts w:ascii="Times New Roman" w:hAnsi="Times New Roman"/>
        </w:rPr>
        <w:t>clinico</w:t>
      </w:r>
      <w:r>
        <w:rPr>
          <w:rFonts w:ascii="Times New Roman" w:hAnsi="Times New Roman"/>
        </w:rPr>
        <w:t>-biologiques :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Incidence : 1 à 2,5 pour 100.000 habitants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Prévalence : 5 à 20 par 100.000 habitants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 xml:space="preserve">2 formes : 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Formes pédiatrique, aiguë post-infectieuses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Forme de l'adulte, chronique, primitive ou secondaire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Démarche étiologique :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Âge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Clinique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/>
      <w:r>
        <w:rPr>
          <w:rFonts w:ascii="Times New Roman" w:hAnsi="Times New Roman"/>
        </w:rPr>
        <w:t>Devant un patient présentant typiquement :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Un syndrome anémique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Un ictère</w:t>
      </w:r>
      <w:r>
        <w:rPr>
          <w:rFonts w:ascii="Times New Roman" w:hAnsi="Times New Roman"/>
        </w:rPr>
        <w:t xml:space="preserve"> sous conjonctival et/ou cutanéo-muqueuse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Et souvent une splénomégalie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b/>
        </w:rPr>
        <w:t>Anémie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macro cellulaire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b/>
        </w:rPr>
        <w:t>Hémolyse :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Hyperréticulocytose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(&gt;1500/l)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Hyperbilirubinémie non conjuguée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Effondrement</w:t>
      </w:r>
      <w:r>
        <w:rPr>
          <w:rFonts w:ascii="Times New Roman" w:hAnsi="Times New Roman"/>
        </w:rPr>
        <w:t xml:space="preserve"> de l'</w:t>
      </w:r>
      <w:r>
        <w:rPr>
          <w:rFonts w:ascii="Times New Roman" w:hAnsi="Times New Roman"/>
        </w:rPr>
        <w:t>hypoglobulinémie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Élévation de la LDH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Hémoglobinémie /hémoglobinurie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b/>
        </w:rPr>
        <w:t>Nature auto-immune :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Test direct à l'</w:t>
      </w:r>
      <w:r>
        <w:rPr>
          <w:rFonts w:ascii="Times New Roman" w:hAnsi="Times New Roman"/>
        </w:rPr>
        <w:t>anti globuline</w:t>
      </w:r>
      <w:r>
        <w:rPr>
          <w:rFonts w:ascii="Times New Roman" w:hAnsi="Times New Roman"/>
        </w:rPr>
        <w:t xml:space="preserve"> TDA </w:t>
      </w:r>
      <w:r>
        <w:rPr>
          <w:rFonts w:ascii="Times New Roman" w:hAnsi="Times New Roman"/>
        </w:rPr>
        <w:t>ou t</w:t>
      </w:r>
      <w:r>
        <w:rPr>
          <w:rFonts w:ascii="Times New Roman" w:hAnsi="Times New Roman"/>
        </w:rPr>
        <w:t>est de Coombs direct TCD (+) dans 95% des cas</w:t>
      </w:r>
    </w:p>
    <w:p>
      <w:pPr>
        <w:pStyle w:val="Heading2"/>
      </w:pPr>
      <w:r>
        <w:rPr>
          <w:rFonts w:ascii="Times New Roman" w:hAnsi="Times New Roman"/>
        </w:rPr>
        <w:t>CLASSIFICATION</w:t>
      </w:r>
    </w:p>
    <w:p>
      <w:pPr>
        <w:pStyle w:val="Heading3"/>
      </w:pPr>
      <w:r>
        <w:rPr/>
        <w:t xml:space="preserve">AHAI à </w:t>
      </w:r>
      <w:r>
        <w:rPr/>
        <w:t>Ac</w:t>
      </w:r>
      <w:r>
        <w:rPr/>
        <w:t xml:space="preserve"> chauds</w:t>
      </w:r>
      <w:r>
        <w:rPr/>
        <w:t xml:space="preserve"> </w:t>
      </w:r>
      <w:r>
        <w:rPr/>
        <w:t xml:space="preserve">(optimum thermique voisin de 37°) 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 60-70% des cas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 Non hémolysants in vitro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 TCD de type IgG ou IgG + C3d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 Spécificité Rh ou pseudo Rh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Responsable d'hémolyse </w:t>
      </w:r>
      <w:r>
        <w:rPr>
          <w:rFonts w:ascii="Times New Roman" w:hAnsi="Times New Roman"/>
        </w:rPr>
        <w:t>extra-vasculaire</w:t>
      </w:r>
      <w:r>
        <w:rPr>
          <w:rFonts w:ascii="Times New Roman" w:hAnsi="Times New Roman"/>
        </w:rPr>
        <w:t xml:space="preserve"> (destruction intratissulaire, surtout splénique) </w:t>
      </w:r>
    </w:p>
    <w:p>
      <w:pPr>
        <w:pStyle w:val="Heading3"/>
      </w:pPr>
      <w:r>
        <w:rPr/>
        <w:t xml:space="preserve">AHAI à </w:t>
      </w:r>
      <w:r>
        <w:rPr/>
        <w:t>Ac</w:t>
      </w:r>
      <w:r>
        <w:rPr/>
        <w:t xml:space="preserve"> froids</w:t>
      </w:r>
      <w:r>
        <w:rPr/>
        <w:t xml:space="preserve"> </w:t>
      </w:r>
      <w:r>
        <w:rPr/>
        <w:t>(optimum thermique voisin de 4°)</w:t>
      </w:r>
      <w:r>
        <w:rPr/>
        <w:t xml:space="preserve"> </w:t>
      </w:r>
      <w:r>
        <w:rPr/>
        <w:t xml:space="preserve">: agglutinines froides  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16-32% des cas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Le plus souvent IgM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Associées à d'autres manifestations déclenchées par l'exposition au froid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Crises d'hémolyse intra ou extravasculaires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(destruction souvent hépatique) </w:t>
      </w:r>
    </w:p>
    <w:p>
      <w:pPr>
        <w:numPr>
          <w:ilvl w:val="1"/>
          <w:numId w:val="17"/>
        </w:numPr>
      </w:pPr>
      <w:r>
        <w:rPr>
          <w:rFonts w:ascii="Times New Roman" w:hAnsi="Times New Roman"/>
          <w:b/>
        </w:rPr>
        <w:t xml:space="preserve">TCD positif de type C3d (test de Coombs direct) </w:t>
      </w:r>
    </w:p>
    <w:p>
      <w:pPr>
        <w:pStyle w:val="Heading3"/>
      </w:pPr>
      <w:r>
        <w:rPr/>
        <w:t>Anémies hémolytiques auto-immunes mixtes</w:t>
      </w:r>
    </w:p>
    <w:p>
      <w:pPr>
        <w:pStyle w:val="Heading3"/>
      </w:pPr>
      <w:r>
        <w:rPr/>
        <w:t>Anémies hémolytiques auto-immunes à Coombs négatif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AHAI avec TCD positif de type IgG ou C3d ou IgG + C3</w:t>
      </w:r>
      <w:r>
        <w:rPr>
          <w:rFonts w:ascii="Times New Roman" w:hAnsi="Times New Roman"/>
        </w:rPr>
        <w:t>d:</w:t>
      </w:r>
      <w:r>
        <w:rPr>
          <w:rFonts w:ascii="Times New Roman" w:hAnsi="Times New Roman"/>
        </w:rPr>
        <w:t xml:space="preserve"> il faut rechercher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Maladie auto-immune systémique, hémopathie lymphoïde, déficit immunitaire ou un cancer associé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Chez l'adulte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Hémolyse déclenchée par le froid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TCD positif de type complément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Acrosyndrome</w:t>
      </w:r>
    </w:p>
    <w:p>
      <w:pPr>
        <w:numPr>
          <w:ilvl w:val="2"/>
          <w:numId w:val="18"/>
        </w:numPr>
      </w:pPr>
      <w:r>
        <w:rPr>
          <w:rFonts w:ascii="Times New Roman" w:hAnsi="Times New Roman"/>
          <w:b/>
        </w:rPr>
        <w:t>=maladie des agglutinines froides</w:t>
      </w:r>
    </w:p>
    <w:p>
      <w:pPr>
        <w:numPr>
          <w:ilvl w:val="2"/>
          <w:numId w:val="18"/>
        </w:numPr>
      </w:pPr>
      <w:r>
        <w:rPr>
          <w:rFonts w:ascii="Times New Roman" w:hAnsi="Times New Roman"/>
          <w:b/>
        </w:rPr>
        <w:t>RECHERCHER UN HÉMOPATHIE LYMPHOÏDE AVEC IgM MONOCLONALE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 xml:space="preserve">Adulte </w:t>
      </w:r>
      <w:r>
        <w:rPr>
          <w:rFonts w:ascii="Times New Roman" w:hAnsi="Times New Roman"/>
        </w:rPr>
        <w:t>jeune:</w:t>
      </w:r>
      <w:r>
        <w:rPr>
          <w:rFonts w:ascii="Times New Roman" w:hAnsi="Times New Roman"/>
        </w:rPr>
        <w:t xml:space="preserve"> rechercher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Infection à mycoplasme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Mononucléose infectieuse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 xml:space="preserve">Infection virale rhinopharyngée. 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Chez l'enfant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 xml:space="preserve">Hémoglobinurie paroxystique a </w:t>
      </w:r>
      <w:r>
        <w:rPr>
          <w:rFonts w:ascii="Times New Roman" w:hAnsi="Times New Roman"/>
        </w:rPr>
        <w:t>frigore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Faire Sérologies virales CMV, EBV, HCV, HIV, mycoplasme</w:t>
      </w:r>
    </w:p>
    <w:p>
      <w:pPr/>
      <w:r>
        <w:rPr>
          <w:rFonts w:ascii="Times New Roman" w:hAnsi="Times New Roman"/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