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ANÉMIE</w:t>
      </w:r>
    </w:p>
    <w:p>
      <w:pPr>
        <w:pStyle w:val="Heading2"/>
      </w:pPr>
      <w:r>
        <w:rPr>
          <w:rFonts w:ascii="Times New Roman" w:hAnsi="Times New Roman"/>
        </w:rPr>
        <w:t>INTRODUCTION</w:t>
      </w:r>
    </w:p>
    <w:p>
      <w:pPr>
        <w:pStyle w:val="Heading3"/>
      </w:pPr>
      <w:r>
        <w:rPr>
          <w:rFonts w:ascii="Times New Roman" w:hAnsi="Times New Roman"/>
        </w:rPr>
        <w:t>RAPPELS</w:t>
      </w:r>
    </w:p>
    <w:p>
      <w:pPr/>
      <w:r>
        <w:rPr>
          <w:rFonts w:ascii="Times New Roman" w:hAnsi="Times New Roman"/>
        </w:rPr>
        <w:t>Globules rouges ou hématie ou érythrocyte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>Structure cellulaire anucléée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 xml:space="preserve">Réduite à </w:t>
      </w:r>
      <w:r>
        <w:rPr>
          <w:rFonts w:ascii="Times New Roman" w:hAnsi="Times New Roman"/>
        </w:rPr>
        <w:t>une membrane contenante</w:t>
      </w:r>
    </w:p>
    <w:p>
      <w:pPr>
        <w:numPr>
          <w:ilvl w:val="1"/>
          <w:numId w:val="1"/>
        </w:numPr>
      </w:pPr>
      <w:r>
        <w:rPr>
          <w:rFonts w:ascii="Times New Roman" w:hAnsi="Times New Roman"/>
        </w:rPr>
        <w:t>Une solution d'hémoglobine</w:t>
      </w:r>
    </w:p>
    <w:p>
      <w:pPr>
        <w:numPr>
          <w:ilvl w:val="1"/>
          <w:numId w:val="1"/>
        </w:numPr>
      </w:pPr>
      <w:r>
        <w:rPr>
          <w:rFonts w:ascii="Times New Roman" w:hAnsi="Times New Roman"/>
        </w:rPr>
        <w:t>Plusieurs enzymes pour la protection de l'hémoglobine et la membrane des phénomènes oxydatifs</w:t>
      </w:r>
    </w:p>
    <w:p>
      <w:pPr/>
    </w:p>
    <w:p>
      <w:pPr>
        <w:pStyle w:val="Heading3"/>
      </w:pPr>
      <w:r>
        <w:rPr>
          <w:rFonts w:ascii="Times New Roman" w:hAnsi="Times New Roman"/>
        </w:rPr>
        <w:t>DEFINITION</w:t>
      </w:r>
    </w:p>
    <w:p>
      <w:pPr>
        <w:numPr>
          <w:ilvl w:val="0"/>
          <w:numId w:val="2"/>
        </w:numPr>
      </w:pPr>
      <w:r>
        <w:rPr>
          <w:rFonts w:ascii="Times New Roman" w:hAnsi="Times New Roman"/>
          <w:b/>
        </w:rPr>
        <w:t>Baisse du taux d'Hémoglobine circulante</w:t>
      </w:r>
    </w:p>
    <w:p>
      <w:pPr>
        <w:numPr>
          <w:ilvl w:val="0"/>
          <w:numId w:val="2"/>
        </w:numPr>
      </w:pPr>
      <w:r>
        <w:rPr>
          <w:rFonts w:ascii="Times New Roman" w:hAnsi="Times New Roman"/>
        </w:rPr>
        <w:t xml:space="preserve">Syndrome </w:t>
      </w:r>
      <w:r>
        <w:rPr>
          <w:rFonts w:ascii="Times New Roman" w:hAnsi="Times New Roman"/>
        </w:rPr>
        <w:t>anémique :</w:t>
      </w:r>
      <w:r>
        <w:rPr>
          <w:rFonts w:ascii="Times New Roman" w:hAnsi="Times New Roman"/>
        </w:rPr>
        <w:t xml:space="preserve"> signes liés à la baisse de l'Hémoglobine </w:t>
      </w:r>
      <w:r>
        <w:rPr>
          <w:rFonts w:ascii="Times New Roman" w:hAnsi="Times New Roman"/>
        </w:rPr>
        <w:t>det</w:t>
      </w:r>
      <w:r>
        <w:rPr>
          <w:rFonts w:ascii="Times New Roman" w:hAnsi="Times New Roman"/>
        </w:rPr>
        <w:t xml:space="preserve"> à l'hypoxie tissulaire</w:t>
      </w:r>
    </w:p>
    <w:p>
      <w:pPr/>
    </w:p>
    <w:p>
      <w:pPr>
        <w:pStyle w:val="Heading3"/>
      </w:pPr>
      <w:r>
        <w:rPr/>
        <w:t>PRÉSENTATION CLINIQUE GENERALE</w:t>
      </w:r>
    </w:p>
    <w:p>
      <w:pPr>
        <w:numPr>
          <w:ilvl w:val="0"/>
          <w:numId w:val="3"/>
        </w:numPr>
      </w:pPr>
      <w:r>
        <w:rPr>
          <w:rFonts w:ascii="Times New Roman" w:hAnsi="Times New Roman"/>
        </w:rPr>
        <w:t>Peu de signes cliniques en rapport avec l'anémie</w:t>
      </w:r>
    </w:p>
    <w:p>
      <w:pPr>
        <w:numPr>
          <w:ilvl w:val="1"/>
          <w:numId w:val="3"/>
        </w:numPr>
      </w:pPr>
      <w:r>
        <w:rPr>
          <w:rFonts w:ascii="Times New Roman" w:hAnsi="Times New Roman"/>
        </w:rPr>
        <w:t>Anémie modérée (</w:t>
      </w:r>
      <w:r>
        <w:rPr>
          <w:rFonts w:ascii="Times New Roman" w:hAnsi="Times New Roman"/>
          <w:i/>
        </w:rPr>
        <w:t>7-8)</w:t>
      </w:r>
    </w:p>
    <w:p>
      <w:pPr>
        <w:numPr>
          <w:ilvl w:val="1"/>
          <w:numId w:val="3"/>
        </w:numPr>
      </w:pPr>
      <w:r>
        <w:rPr>
          <w:rFonts w:ascii="Times New Roman" w:hAnsi="Times New Roman"/>
        </w:rPr>
        <w:t xml:space="preserve">Anémie d'installation progressive (anémie chronique) </w:t>
      </w:r>
    </w:p>
    <w:p>
      <w:pPr>
        <w:numPr>
          <w:ilvl w:val="0"/>
          <w:numId w:val="3"/>
        </w:numPr>
      </w:pPr>
      <w:r>
        <w:rPr>
          <w:rFonts w:ascii="Times New Roman" w:hAnsi="Times New Roman"/>
        </w:rPr>
        <w:t xml:space="preserve">Signes cliniques nets d'anémie (mal supportée) </w:t>
      </w:r>
    </w:p>
    <w:p>
      <w:pPr>
        <w:numPr>
          <w:ilvl w:val="1"/>
          <w:numId w:val="3"/>
        </w:numPr>
      </w:pPr>
      <w:r>
        <w:rPr>
          <w:rFonts w:ascii="Times New Roman" w:hAnsi="Times New Roman"/>
        </w:rPr>
        <w:t>Anémie très profonde</w:t>
      </w:r>
      <w:r>
        <w:rPr>
          <w:rFonts w:ascii="Times New Roman" w:hAnsi="Times New Roman"/>
        </w:rPr>
        <w:t>, très sévère</w:t>
      </w:r>
    </w:p>
    <w:p>
      <w:pPr>
        <w:numPr>
          <w:ilvl w:val="1"/>
          <w:numId w:val="3"/>
        </w:numPr>
      </w:pPr>
      <w:r>
        <w:rPr>
          <w:rFonts w:ascii="Times New Roman" w:hAnsi="Times New Roman"/>
        </w:rPr>
        <w:t xml:space="preserve">Anémie d'installation rapide (anémie Aiguë) </w:t>
      </w:r>
    </w:p>
    <w:p>
      <w:pPr>
        <w:numPr>
          <w:ilvl w:val="2"/>
          <w:numId w:val="3"/>
        </w:numPr>
      </w:pPr>
      <w:r>
        <w:rPr>
          <w:rFonts w:ascii="Times New Roman" w:hAnsi="Times New Roman"/>
        </w:rPr>
        <w:t>Avec risque d'état de choc par collapsus cardio-vasculaire (</w:t>
      </w:r>
      <w:r>
        <w:rPr>
          <w:rFonts w:ascii="Times New Roman" w:hAnsi="Times New Roman"/>
          <w:i/>
        </w:rPr>
        <w:t xml:space="preserve">choc hémorragique) </w:t>
      </w:r>
    </w:p>
    <w:p>
      <w:pPr/>
    </w:p>
    <w:p>
      <w:pPr>
        <w:pStyle w:val="Heading2"/>
      </w:pPr>
      <w:r>
        <w:rPr>
          <w:rFonts w:ascii="Times New Roman" w:hAnsi="Times New Roman"/>
        </w:rPr>
        <w:t>SIGNES CLINIQUES</w:t>
      </w:r>
    </w:p>
    <w:p>
      <w:pPr>
        <w:numPr>
          <w:ilvl w:val="0"/>
          <w:numId w:val="4"/>
        </w:numPr>
      </w:pPr>
      <w:r>
        <w:rPr>
          <w:rFonts w:ascii="Times New Roman" w:hAnsi="Times New Roman"/>
        </w:rPr>
        <w:t xml:space="preserve">Pâleur </w:t>
      </w:r>
      <w:r>
        <w:rPr>
          <w:rFonts w:ascii="Times New Roman" w:hAnsi="Times New Roman"/>
        </w:rPr>
        <w:t>conjonctivo</w:t>
      </w:r>
      <w:r>
        <w:rPr>
          <w:rFonts w:ascii="Times New Roman" w:hAnsi="Times New Roman"/>
        </w:rPr>
        <w:t xml:space="preserve">-muqueuse ou cutanée (paume) </w:t>
      </w:r>
    </w:p>
    <w:p>
      <w:pPr>
        <w:numPr>
          <w:ilvl w:val="0"/>
          <w:numId w:val="4"/>
        </w:numPr>
      </w:pPr>
      <w:r>
        <w:rPr>
          <w:rFonts w:ascii="Times New Roman" w:hAnsi="Times New Roman"/>
        </w:rPr>
        <w:t>Asthénie, malaise</w:t>
      </w:r>
    </w:p>
    <w:p>
      <w:pPr>
        <w:numPr>
          <w:ilvl w:val="0"/>
          <w:numId w:val="4"/>
        </w:numPr>
      </w:pPr>
      <w:r>
        <w:rPr>
          <w:rFonts w:ascii="Times New Roman" w:hAnsi="Times New Roman"/>
        </w:rPr>
        <w:t>Signes cardio-respiratoires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>Hypotension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>Tachycardie, pouls filant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>Souffle systolique anorganique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>Dyspnée à type de polypnée (</w:t>
      </w:r>
      <w:r>
        <w:rPr>
          <w:rFonts w:ascii="Times New Roman" w:hAnsi="Times New Roman"/>
          <w:i/>
        </w:rPr>
        <w:t xml:space="preserve">d'effort typiquement) </w:t>
      </w:r>
    </w:p>
    <w:p>
      <w:pPr>
        <w:numPr>
          <w:ilvl w:val="0"/>
          <w:numId w:val="4"/>
        </w:numPr>
      </w:pPr>
      <w:r>
        <w:rPr>
          <w:rFonts w:ascii="Times New Roman" w:hAnsi="Times New Roman"/>
        </w:rPr>
        <w:t xml:space="preserve">Signes </w:t>
      </w:r>
      <w:r>
        <w:rPr>
          <w:rFonts w:ascii="Times New Roman" w:hAnsi="Times New Roman"/>
        </w:rPr>
        <w:t>neurosensoriels :</w:t>
      </w:r>
      <w:r>
        <w:rPr>
          <w:rFonts w:ascii="Times New Roman" w:hAnsi="Times New Roman"/>
        </w:rPr>
        <w:t xml:space="preserve"> céphalées, vertige, bourdonnement d'oreilles, éblouissement visuel, syncope, lipothymie</w:t>
      </w:r>
    </w:p>
    <w:p>
      <w:pPr/>
    </w:p>
    <w:p>
      <w:pPr>
        <w:pStyle w:val="Heading2"/>
      </w:pPr>
      <w:r>
        <w:rPr>
          <w:rFonts w:ascii="Times New Roman" w:hAnsi="Times New Roman"/>
        </w:rPr>
        <w:t>COMPLICATIONS</w:t>
      </w:r>
    </w:p>
    <w:p>
      <w:pPr/>
      <w:r>
        <w:rPr>
          <w:rFonts w:ascii="Times New Roman" w:hAnsi="Times New Roman"/>
        </w:rPr>
        <w:t>LIÉES A L'HYPOXÉMIE TISSULAIRE CHRONIQUE (</w:t>
      </w:r>
      <w:r>
        <w:rPr>
          <w:rFonts w:ascii="Times New Roman" w:hAnsi="Times New Roman"/>
          <w:i/>
        </w:rPr>
        <w:t xml:space="preserve">ischémie myocardique) </w:t>
      </w:r>
    </w:p>
    <w:p>
      <w:pPr/>
    </w:p>
    <w:p>
      <w:pPr>
        <w:pStyle w:val="Heading2"/>
      </w:pPr>
      <w:r>
        <w:rPr>
          <w:rFonts w:ascii="Times New Roman" w:hAnsi="Times New Roman"/>
        </w:rPr>
        <w:t xml:space="preserve">CLASSIFICATION (VGM </w:t>
      </w:r>
      <w:r>
        <w:rPr>
          <w:rFonts w:ascii="Times New Roman" w:hAnsi="Times New Roman"/>
        </w:rPr>
        <w:t>normal :</w:t>
      </w:r>
      <w:r>
        <w:rPr>
          <w:rFonts w:ascii="Times New Roman" w:hAnsi="Times New Roman"/>
        </w:rPr>
        <w:t xml:space="preserve"> 85-95)</w:t>
      </w:r>
    </w:p>
    <w:p>
      <w:pPr>
        <w:numPr>
          <w:ilvl w:val="0"/>
          <w:numId w:val="5"/>
        </w:numPr>
      </w:pPr>
      <w:r>
        <w:rPr>
          <w:rFonts w:ascii="Times New Roman" w:hAnsi="Times New Roman"/>
          <w:b/>
        </w:rPr>
        <w:t>Anémie normocytaire ou macrocytaire normochrome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Régénérative (</w:t>
      </w:r>
      <w:r>
        <w:rPr>
          <w:rFonts w:ascii="Times New Roman" w:hAnsi="Times New Roman"/>
          <w:color w:val="FF0000"/>
        </w:rPr>
        <w:t xml:space="preserve">hémorragies, hémolyses) 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Arégénérative (</w:t>
      </w:r>
      <w:r>
        <w:rPr>
          <w:rFonts w:ascii="Times New Roman" w:hAnsi="Times New Roman"/>
          <w:color w:val="FF0000"/>
        </w:rPr>
        <w:t xml:space="preserve">Aplasie, envahissement médullaire, myélodysplasie) </w:t>
      </w:r>
    </w:p>
    <w:p>
      <w:pPr>
        <w:numPr>
          <w:ilvl w:val="0"/>
          <w:numId w:val="5"/>
        </w:numPr>
      </w:pPr>
      <w:r>
        <w:rPr>
          <w:rFonts w:ascii="Times New Roman" w:hAnsi="Times New Roman"/>
          <w:b/>
        </w:rPr>
        <w:t>Anémie microcytaire hypochrome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Régénérative (</w:t>
      </w:r>
      <w:r>
        <w:rPr>
          <w:rFonts w:ascii="Times New Roman" w:hAnsi="Times New Roman"/>
          <w:color w:val="FF0000"/>
        </w:rPr>
        <w:t xml:space="preserve">hémorragies) 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Arégénérative (</w:t>
      </w:r>
      <w:r>
        <w:rPr>
          <w:rFonts w:ascii="Times New Roman" w:hAnsi="Times New Roman"/>
          <w:color w:val="FF0000"/>
        </w:rPr>
        <w:t xml:space="preserve">Carence en fer) </w:t>
      </w:r>
    </w:p>
    <w:p>
      <w:pPr>
        <w:numPr>
          <w:ilvl w:val="0"/>
          <w:numId w:val="5"/>
        </w:numPr>
      </w:pPr>
      <w:r>
        <w:rPr>
          <w:rFonts w:ascii="Times New Roman" w:hAnsi="Times New Roman"/>
        </w:rPr>
        <w:t>2 mécanismes physiopathologiques</w:t>
      </w:r>
    </w:p>
    <w:p>
      <w:pPr>
        <w:numPr>
          <w:ilvl w:val="1"/>
          <w:numId w:val="5"/>
        </w:numPr>
      </w:pPr>
      <w:r>
        <w:rPr>
          <w:rFonts w:ascii="Times New Roman" w:hAnsi="Times New Roman"/>
          <w:b/>
        </w:rPr>
        <w:t>Centrale :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diminution de la production</w:t>
      </w:r>
    </w:p>
    <w:p>
      <w:pPr>
        <w:numPr>
          <w:ilvl w:val="1"/>
          <w:numId w:val="5"/>
        </w:numPr>
      </w:pPr>
      <w:r>
        <w:rPr>
          <w:rFonts w:ascii="Times New Roman" w:hAnsi="Times New Roman"/>
          <w:b/>
        </w:rPr>
        <w:t>Périphérique :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SPOLIATION (hémorragie), destruction (hémolyse) </w:t>
      </w:r>
    </w:p>
    <w:p>
      <w:pPr/>
    </w:p>
    <w:p>
      <w:pPr>
        <w:pStyle w:val="Heading2"/>
      </w:pPr>
      <w:r>
        <w:rPr>
          <w:rFonts w:ascii="Times New Roman" w:hAnsi="Times New Roman"/>
        </w:rPr>
        <w:t>ETIOLOGIES</w:t>
      </w:r>
    </w:p>
    <w:p>
      <w:pPr>
        <w:pStyle w:val="Heading3"/>
      </w:pPr>
      <w:r>
        <w:rPr>
          <w:rFonts w:ascii="Times New Roman" w:hAnsi="Times New Roman"/>
        </w:rPr>
        <w:t>Insuffisance de production (étiologie centrale)</w:t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6"/>
        </w:numPr>
      </w:pPr>
      <w:r>
        <w:rPr>
          <w:rFonts w:ascii="Times New Roman" w:hAnsi="Times New Roman"/>
          <w:color w:val="FF0000"/>
        </w:rPr>
        <w:t xml:space="preserve">Aplasie (anémie aplasie) </w:t>
      </w:r>
    </w:p>
    <w:p>
      <w:pPr>
        <w:numPr>
          <w:ilvl w:val="1"/>
          <w:numId w:val="6"/>
        </w:numPr>
      </w:pPr>
      <w:r>
        <w:rPr>
          <w:rFonts w:ascii="Times New Roman" w:hAnsi="Times New Roman"/>
          <w:color w:val="FF0000"/>
        </w:rPr>
        <w:t>Manque de matières premières</w:t>
      </w:r>
    </w:p>
    <w:p>
      <w:pPr>
        <w:numPr>
          <w:ilvl w:val="2"/>
          <w:numId w:val="6"/>
        </w:numPr>
      </w:pPr>
      <w:r>
        <w:rPr>
          <w:rFonts w:ascii="Times New Roman" w:hAnsi="Times New Roman"/>
        </w:rPr>
        <w:t>Fer (</w:t>
      </w:r>
      <w:r>
        <w:rPr>
          <w:rFonts w:ascii="Times New Roman" w:hAnsi="Times New Roman"/>
          <w:color w:val="005800"/>
        </w:rPr>
        <w:t xml:space="preserve">Anémie microcytaire hypochrome </w:t>
      </w:r>
      <w:r>
        <w:rPr>
          <w:rFonts w:ascii="Times New Roman" w:hAnsi="Times New Roman"/>
          <w:color w:val="005800"/>
        </w:rPr>
        <w:t>hyposidérémique</w:t>
      </w:r>
      <w:r>
        <w:rPr>
          <w:rFonts w:ascii="Times New Roman" w:hAnsi="Times New Roman"/>
          <w:color w:val="005800"/>
        </w:rPr>
        <w:t xml:space="preserve">) </w:t>
      </w:r>
    </w:p>
    <w:p>
      <w:pPr>
        <w:numPr>
          <w:ilvl w:val="2"/>
          <w:numId w:val="6"/>
        </w:numPr>
      </w:pPr>
      <w:r>
        <w:rPr>
          <w:rFonts w:ascii="Times New Roman" w:hAnsi="Times New Roman"/>
        </w:rPr>
        <w:t>Vit B12 et acide folique (</w:t>
      </w:r>
      <w:r>
        <w:rPr>
          <w:rFonts w:ascii="Times New Roman" w:hAnsi="Times New Roman"/>
          <w:color w:val="005800"/>
        </w:rPr>
        <w:t xml:space="preserve">anémie mégalocytaire mégaloblastique) </w:t>
      </w:r>
    </w:p>
    <w:p>
      <w:pPr>
        <w:numPr>
          <w:ilvl w:val="2"/>
          <w:numId w:val="6"/>
        </w:numPr>
      </w:pPr>
      <w:r>
        <w:rPr>
          <w:rFonts w:ascii="Times New Roman" w:hAnsi="Times New Roman"/>
        </w:rPr>
        <w:t>Protéine</w:t>
      </w:r>
    </w:p>
    <w:p>
      <w:pPr>
        <w:numPr>
          <w:ilvl w:val="1"/>
          <w:numId w:val="6"/>
        </w:numPr>
      </w:pPr>
      <w:r>
        <w:rPr>
          <w:rFonts w:ascii="Times New Roman" w:hAnsi="Times New Roman"/>
          <w:color w:val="FF0000"/>
        </w:rPr>
        <w:t>Envahissement médullaire</w:t>
      </w:r>
    </w:p>
    <w:p>
      <w:pPr>
        <w:numPr>
          <w:ilvl w:val="2"/>
          <w:numId w:val="6"/>
        </w:numPr>
      </w:pPr>
      <w:r>
        <w:rPr>
          <w:rFonts w:ascii="Times New Roman" w:hAnsi="Times New Roman"/>
        </w:rPr>
        <w:t xml:space="preserve">Cellules hématologiques anormales (leucémies, Lymphomes, Myélomes) </w:t>
      </w:r>
    </w:p>
    <w:p>
      <w:pPr>
        <w:numPr>
          <w:ilvl w:val="2"/>
          <w:numId w:val="6"/>
        </w:numPr>
      </w:pPr>
      <w:r>
        <w:rPr>
          <w:rFonts w:ascii="Times New Roman" w:hAnsi="Times New Roman"/>
        </w:rPr>
        <w:t>Cellules métastatiques</w:t>
      </w:r>
    </w:p>
    <w:p>
      <w:pPr>
        <w:numPr>
          <w:ilvl w:val="1"/>
          <w:numId w:val="6"/>
        </w:numPr>
      </w:pPr>
      <w:r>
        <w:rPr>
          <w:rFonts w:ascii="Times New Roman" w:hAnsi="Times New Roman"/>
          <w:color w:val="FF0000"/>
        </w:rPr>
        <w:t>Myélodysplasie</w:t>
      </w:r>
    </w:p>
    <w:p>
      <w:pPr>
        <w:numPr>
          <w:ilvl w:val="2"/>
          <w:numId w:val="6"/>
        </w:numPr>
      </w:pPr>
      <w:r>
        <w:rPr>
          <w:rFonts w:ascii="Times New Roman" w:hAnsi="Times New Roman"/>
        </w:rPr>
        <w:t>Production de mauvaise qualité conduisant à un avortement intramédullaire</w:t>
      </w:r>
    </w:p>
    <w:p>
      <w:pPr>
        <w:numPr>
          <w:ilvl w:val="1"/>
          <w:numId w:val="6"/>
        </w:numPr>
      </w:pPr>
      <w:r>
        <w:rPr>
          <w:rFonts w:ascii="Times New Roman" w:hAnsi="Times New Roman"/>
          <w:color w:val="FF0000"/>
        </w:rPr>
        <w:t xml:space="preserve">Insuffisance d'érythropoïétine (insuffisance rénale) </w:t>
      </w:r>
    </w:p>
    <w:p>
      <w:pPr>
        <w:pStyle w:val="Heading3"/>
      </w:pPr>
      <w:r>
        <w:rPr>
          <w:rFonts w:ascii="Times New Roman" w:hAnsi="Times New Roman"/>
        </w:rPr>
        <w:t>Origines périphériques</w:t>
      </w:r>
    </w:p>
    <w:p>
      <w:pPr>
        <w:numPr>
          <w:ilvl w:val="1"/>
          <w:numId w:val="6"/>
        </w:numPr>
      </w:pPr>
      <w:r>
        <w:rPr>
          <w:rFonts w:ascii="Times New Roman" w:hAnsi="Times New Roman"/>
        </w:rPr>
        <w:t>Perte de globule rouge : Hémorragies</w:t>
      </w:r>
    </w:p>
    <w:p>
      <w:pPr>
        <w:numPr>
          <w:ilvl w:val="1"/>
          <w:numId w:val="6"/>
        </w:numPr>
      </w:pPr>
      <w:r>
        <w:rPr>
          <w:rFonts w:ascii="Times New Roman" w:hAnsi="Times New Roman"/>
        </w:rPr>
        <w:t xml:space="preserve">Destruction des Globules </w:t>
      </w:r>
      <w:r>
        <w:rPr>
          <w:rFonts w:ascii="Times New Roman" w:hAnsi="Times New Roman"/>
        </w:rPr>
        <w:t>rouges:</w:t>
      </w:r>
      <w:r>
        <w:rPr>
          <w:rFonts w:ascii="Times New Roman" w:hAnsi="Times New Roman"/>
        </w:rPr>
        <w:t xml:space="preserve"> hémolyse (anémie hémolytique) </w:t>
      </w:r>
    </w:p>
    <w:p>
      <w:pPr/>
    </w:p>
    <w:p>
      <w:pPr>
        <w:pStyle w:val="Heading2"/>
      </w:pPr>
      <w:r>
        <w:rPr>
          <w:rFonts w:ascii="Times New Roman" w:hAnsi="Times New Roman"/>
        </w:rPr>
        <w:t>PRISE EN CHARGE DE L'ANEMIE</w:t>
      </w:r>
    </w:p>
    <w:p>
      <w:pPr>
        <w:numPr>
          <w:ilvl w:val="0"/>
          <w:numId w:val="7"/>
        </w:numPr>
      </w:pPr>
      <w:r>
        <w:rPr>
          <w:rFonts w:ascii="Times New Roman" w:hAnsi="Times New Roman"/>
        </w:rPr>
        <w:t>Dépend de la tolérance clinique</w:t>
      </w:r>
    </w:p>
    <w:p>
      <w:pPr>
        <w:numPr>
          <w:ilvl w:val="0"/>
          <w:numId w:val="7"/>
        </w:numPr>
      </w:pPr>
      <w:r>
        <w:rPr>
          <w:rFonts w:ascii="Times New Roman" w:hAnsi="Times New Roman"/>
        </w:rPr>
        <w:t>Dépend du taux de base de l'hémoglobine (</w:t>
      </w:r>
      <w:r>
        <w:rPr>
          <w:rFonts w:ascii="Times New Roman" w:hAnsi="Times New Roman"/>
          <w:i/>
        </w:rPr>
        <w:t>ex :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Hb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Drépanocytose: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Tx</w:t>
      </w:r>
      <w:r>
        <w:rPr>
          <w:rFonts w:ascii="Times New Roman" w:hAnsi="Times New Roman"/>
          <w:i/>
        </w:rPr>
        <w:t xml:space="preserve"> 178g </w:t>
      </w:r>
      <w:r>
        <w:rPr>
          <w:rFonts w:ascii="Times New Roman" w:hAnsi="Times New Roman"/>
          <w:b/>
          <w:i/>
        </w:rPr>
        <w:t>tsy</w:t>
      </w:r>
      <w:r>
        <w:rPr>
          <w:rFonts w:ascii="Times New Roman" w:hAnsi="Times New Roman"/>
          <w:b/>
          <w:i/>
        </w:rPr>
        <w:t xml:space="preserve"> </w:t>
      </w:r>
      <w:r>
        <w:rPr>
          <w:rFonts w:ascii="Times New Roman" w:hAnsi="Times New Roman"/>
          <w:b/>
          <w:i/>
        </w:rPr>
        <w:t>mila</w:t>
      </w:r>
      <w:r>
        <w:rPr>
          <w:rFonts w:ascii="Times New Roman" w:hAnsi="Times New Roman"/>
          <w:b/>
          <w:i/>
        </w:rPr>
        <w:t xml:space="preserve"> transfusion) </w:t>
      </w:r>
    </w:p>
    <w:p>
      <w:pPr>
        <w:numPr>
          <w:ilvl w:val="0"/>
          <w:numId w:val="7"/>
        </w:numPr>
      </w:pPr>
      <w:r>
        <w:rPr>
          <w:rFonts w:ascii="Times New Roman" w:hAnsi="Times New Roman"/>
        </w:rPr>
        <w:t xml:space="preserve">Dépend de l'étiologie </w:t>
      </w:r>
      <w:r>
        <w:rPr>
          <w:rFonts w:ascii="Times New Roman" w:hAnsi="Times New Roman"/>
          <w:b/>
        </w:rPr>
        <w:t>RECHERCHER L'ETIOLOGIE+++</w:t>
      </w:r>
    </w:p>
    <w:p>
      <w:pPr>
        <w:numPr>
          <w:ilvl w:val="0"/>
          <w:numId w:val="7"/>
        </w:numPr>
      </w:pPr>
      <w:r>
        <w:rPr>
          <w:rFonts w:ascii="Times New Roman" w:hAnsi="Times New Roman"/>
        </w:rPr>
        <w:t>Dépend des moyens thérapeutiques dont on dispose</w:t>
      </w:r>
    </w:p>
    <w:p>
      <w:pPr/>
    </w:p>
    <w:p>
      <w:pPr/>
      <w:r>
        <w:rPr>
          <w:rFonts w:ascii="Times New Roman" w:hAnsi="Times New Roman"/>
        </w:rPr>
        <w:t>Il existe 4 GROUPES D'ANEMIES</w:t>
      </w:r>
    </w:p>
    <w:p>
      <w:pPr>
        <w:numPr>
          <w:ilvl w:val="0"/>
          <w:numId w:val="8"/>
        </w:numPr>
      </w:pPr>
      <w:r>
        <w:rPr>
          <w:rFonts w:ascii="Times New Roman" w:hAnsi="Times New Roman"/>
          <w:b/>
        </w:rPr>
        <w:t>ANEMIE MICROCYTAIRE HYPOCHROME</w:t>
      </w:r>
    </w:p>
    <w:p>
      <w:pPr>
        <w:numPr>
          <w:ilvl w:val="0"/>
          <w:numId w:val="8"/>
        </w:numPr>
      </w:pPr>
      <w:r>
        <w:rPr>
          <w:rFonts w:ascii="Times New Roman" w:hAnsi="Times New Roman"/>
          <w:b/>
        </w:rPr>
        <w:t>ANEMIE HÉMOLYTIQUE</w:t>
      </w:r>
    </w:p>
    <w:p>
      <w:pPr>
        <w:numPr>
          <w:ilvl w:val="0"/>
          <w:numId w:val="8"/>
        </w:numPr>
      </w:pPr>
      <w:r>
        <w:rPr>
          <w:rFonts w:ascii="Times New Roman" w:hAnsi="Times New Roman"/>
          <w:b/>
        </w:rPr>
        <w:t>ANEMIE APLASIQUE</w:t>
      </w:r>
    </w:p>
    <w:p>
      <w:pPr>
        <w:numPr>
          <w:ilvl w:val="0"/>
          <w:numId w:val="8"/>
        </w:numPr>
      </w:pPr>
      <w:r>
        <w:rPr>
          <w:rFonts w:ascii="Times New Roman" w:hAnsi="Times New Roman"/>
          <w:b/>
        </w:rPr>
        <w:t>ANEMIE MEGALOCYTAIRE MEGALOBLASTIQUE</w:t>
      </w:r>
    </w:p>
    <w:p>
      <w:pPr/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