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ANEMIE MICROCYTAIRE HYPOCHROME HYPOSIDEREMIQUE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ANEMIE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 xml:space="preserve">VGM, TCMH, CCMH </w:t>
      </w:r>
      <w:r>
        <w:rPr>
          <w:rFonts w:ascii="Times New Roman" w:hAnsi="Times New Roman"/>
          <w:color w:val="FF0000"/>
        </w:rPr>
        <w:t>diminués</w:t>
      </w:r>
    </w:p>
    <w:p>
      <w:pPr>
        <w:numPr>
          <w:ilvl w:val="0"/>
          <w:numId w:val="9"/>
        </w:numPr>
      </w:pPr>
      <w:r>
        <w:rPr>
          <w:rFonts w:ascii="Times New Roman" w:hAnsi="Times New Roman"/>
          <w:b/>
        </w:rPr>
        <w:t>Hyposidérémie ou sidéropénie</w:t>
      </w:r>
    </w:p>
    <w:p>
      <w:pPr>
        <w:numPr>
          <w:ilvl w:val="1"/>
          <w:numId w:val="9"/>
        </w:numPr>
      </w:pPr>
      <w:r>
        <w:rPr>
          <w:rFonts w:ascii="Times New Roman" w:hAnsi="Times New Roman"/>
        </w:rPr>
        <w:t xml:space="preserve">Fer plasmatique </w:t>
      </w:r>
      <w:r>
        <w:rPr>
          <w:rFonts w:ascii="Times New Roman" w:hAnsi="Times New Roman"/>
          <w:color w:val="FF0000"/>
        </w:rPr>
        <w:t>diminué</w:t>
      </w:r>
    </w:p>
    <w:p>
      <w:pPr>
        <w:numPr>
          <w:ilvl w:val="1"/>
          <w:numId w:val="9"/>
        </w:numPr>
      </w:pPr>
      <w:r>
        <w:rPr>
          <w:rFonts w:ascii="Times New Roman" w:hAnsi="Times New Roman"/>
        </w:rPr>
        <w:t xml:space="preserve">Capacité de saturation de la transferrine </w:t>
      </w:r>
      <w:r>
        <w:rPr>
          <w:rFonts w:ascii="Times New Roman" w:hAnsi="Times New Roman"/>
          <w:color w:val="FF0000"/>
        </w:rPr>
        <w:t>augmenté</w:t>
      </w:r>
    </w:p>
    <w:p>
      <w:pPr>
        <w:numPr>
          <w:ilvl w:val="1"/>
          <w:numId w:val="9"/>
        </w:numPr>
      </w:pPr>
      <w:r>
        <w:rPr>
          <w:rFonts w:ascii="Times New Roman" w:hAnsi="Times New Roman"/>
        </w:rPr>
        <w:t xml:space="preserve">Coefficient de saturation </w:t>
      </w:r>
      <w:r>
        <w:rPr>
          <w:rFonts w:ascii="Times New Roman" w:hAnsi="Times New Roman"/>
          <w:color w:val="FF0000"/>
        </w:rPr>
        <w:t>effondrée</w:t>
      </w:r>
    </w:p>
    <w:p>
      <w:pPr>
        <w:numPr>
          <w:ilvl w:val="0"/>
          <w:numId w:val="9"/>
        </w:numPr>
      </w:pPr>
      <w:r>
        <w:rPr>
          <w:rFonts w:ascii="Times New Roman" w:hAnsi="Times New Roman"/>
          <w:b/>
          <w:u w:val="single"/>
        </w:rPr>
        <w:t>Ferritinémie</w:t>
      </w:r>
    </w:p>
    <w:p>
      <w:pPr>
        <w:numPr>
          <w:ilvl w:val="1"/>
          <w:numId w:val="9"/>
        </w:numPr>
      </w:pPr>
      <w:r>
        <w:rPr>
          <w:rFonts w:ascii="Times New Roman" w:hAnsi="Times New Roman"/>
        </w:rPr>
        <w:t>Abaissé en cas de carence en fer vrai</w:t>
      </w:r>
    </w:p>
    <w:p>
      <w:pPr>
        <w:numPr>
          <w:ilvl w:val="1"/>
          <w:numId w:val="9"/>
        </w:numPr>
      </w:pPr>
      <w:r>
        <w:rPr>
          <w:rFonts w:ascii="Times New Roman" w:hAnsi="Times New Roman"/>
        </w:rPr>
        <w:t xml:space="preserve">Normal ou augmenté en cas d'inflammation (par séquestration de </w:t>
      </w:r>
      <w:r>
        <w:rPr>
          <w:rFonts w:ascii="Times New Roman" w:hAnsi="Times New Roman"/>
        </w:rPr>
        <w:t>fer dans</w:t>
      </w:r>
      <w:r>
        <w:rPr>
          <w:rFonts w:ascii="Times New Roman" w:hAnsi="Times New Roman"/>
        </w:rPr>
        <w:t xml:space="preserve"> les macrophages) </w:t>
      </w:r>
    </w:p>
    <w:p>
      <w:pPr/>
      <w:r>
        <w:rPr>
          <w:rFonts w:ascii="Times New Roman" w:hAnsi="Times New Roman"/>
          <w:b/>
        </w:rPr>
        <w:t>Regénération</w:t>
      </w:r>
      <w:r>
        <w:rPr>
          <w:rFonts w:ascii="Times New Roman" w:hAnsi="Times New Roman"/>
          <w:b/>
        </w:rPr>
        <w:t xml:space="preserve"> médullaire </w:t>
      </w:r>
    </w:p>
    <w:p>
      <w:pPr>
        <w:numPr>
          <w:ilvl w:val="0"/>
          <w:numId w:val="10"/>
        </w:numPr>
      </w:pPr>
      <w:r>
        <w:rPr>
          <w:rFonts w:ascii="Times New Roman" w:hAnsi="Times New Roman"/>
          <w:u w:val="single"/>
        </w:rPr>
        <w:t xml:space="preserve">Anémie </w:t>
      </w:r>
      <w:r>
        <w:rPr>
          <w:rFonts w:ascii="Times New Roman" w:hAnsi="Times New Roman"/>
          <w:u w:val="single"/>
        </w:rPr>
        <w:t>regénérative</w:t>
      </w:r>
      <w:r>
        <w:rPr>
          <w:rFonts w:ascii="Times New Roman" w:hAnsi="Times New Roman"/>
          <w:u w:val="single"/>
        </w:rPr>
        <w:t>:</w:t>
      </w:r>
      <w:r>
        <w:rPr>
          <w:rFonts w:ascii="Times New Roman" w:hAnsi="Times New Roman"/>
        </w:rPr>
        <w:t xml:space="preserve"> (Hémorragies) 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 xml:space="preserve">Réticulocytes et érythroblastes médullaires </w:t>
      </w:r>
      <w:r>
        <w:rPr>
          <w:rFonts w:ascii="Times New Roman" w:hAnsi="Times New Roman"/>
          <w:color w:val="FF0000"/>
        </w:rPr>
        <w:t>élevés</w:t>
      </w:r>
    </w:p>
    <w:p>
      <w:pPr>
        <w:numPr>
          <w:ilvl w:val="0"/>
          <w:numId w:val="10"/>
        </w:numPr>
      </w:pPr>
      <w:r>
        <w:rPr>
          <w:rFonts w:ascii="Times New Roman" w:hAnsi="Times New Roman"/>
          <w:u w:val="single"/>
        </w:rPr>
        <w:t xml:space="preserve">Anémie non </w:t>
      </w:r>
      <w:r>
        <w:rPr>
          <w:rFonts w:ascii="Times New Roman" w:hAnsi="Times New Roman"/>
          <w:u w:val="single"/>
        </w:rPr>
        <w:t>regénérative</w:t>
      </w:r>
      <w:r>
        <w:rPr>
          <w:rFonts w:ascii="Times New Roman" w:hAnsi="Times New Roman"/>
          <w:u w:val="single"/>
        </w:rPr>
        <w:t>:</w:t>
      </w:r>
      <w:r>
        <w:rPr>
          <w:rFonts w:ascii="Times New Roman" w:hAnsi="Times New Roman"/>
        </w:rPr>
        <w:t xml:space="preserve"> (Carence en fer) 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 xml:space="preserve">Réticulocytes et érythroblastes médullaires </w:t>
      </w:r>
      <w:r>
        <w:rPr>
          <w:rFonts w:ascii="Times New Roman" w:hAnsi="Times New Roman"/>
          <w:color w:val="FF0000"/>
        </w:rPr>
        <w:t>diminués</w:t>
      </w:r>
    </w:p>
    <w:p>
      <w:pPr/>
    </w:p>
    <w:p>
      <w:pPr>
        <w:pStyle w:val="Heading2"/>
      </w:pPr>
      <w:r>
        <w:rPr>
          <w:rFonts w:ascii="Times New Roman" w:hAnsi="Times New Roman"/>
        </w:rPr>
        <w:t>ETIOLOGIES</w:t>
      </w:r>
      <w:r>
        <w:rPr>
          <w:rFonts w:ascii="Times New Roman" w:hAnsi="Times New Roman"/>
        </w:rPr>
        <w:t xml:space="preserve"> </w:t>
      </w:r>
    </w:p>
    <w:p>
      <w:pPr>
        <w:numPr>
          <w:ilvl w:val="0"/>
          <w:numId w:val="11"/>
        </w:numPr>
      </w:pPr>
      <w:r>
        <w:rPr>
          <w:rFonts w:ascii="Times New Roman" w:hAnsi="Times New Roman"/>
          <w:u w:val="single"/>
        </w:rPr>
        <w:t xml:space="preserve">Anémie </w:t>
      </w:r>
      <w:r>
        <w:rPr>
          <w:rFonts w:ascii="Times New Roman" w:hAnsi="Times New Roman"/>
          <w:u w:val="single"/>
        </w:rPr>
        <w:t>régénérative</w:t>
      </w:r>
    </w:p>
    <w:p>
      <w:pPr>
        <w:numPr>
          <w:ilvl w:val="1"/>
          <w:numId w:val="11"/>
        </w:numPr>
      </w:pPr>
      <w:r>
        <w:rPr>
          <w:rFonts w:ascii="Times New Roman" w:hAnsi="Times New Roman"/>
        </w:rPr>
        <w:t>Hémorragie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appareil digestif, appareil génital, spoliation par les parasites, syndrome hémorragique</w:t>
      </w:r>
    </w:p>
    <w:p>
      <w:pPr>
        <w:numPr>
          <w:ilvl w:val="0"/>
          <w:numId w:val="11"/>
        </w:numPr>
      </w:pPr>
      <w:r>
        <w:rPr>
          <w:rFonts w:ascii="Times New Roman" w:hAnsi="Times New Roman"/>
          <w:u w:val="single"/>
        </w:rPr>
        <w:t xml:space="preserve">Anémie non </w:t>
      </w:r>
      <w:r>
        <w:rPr>
          <w:rFonts w:ascii="Times New Roman" w:hAnsi="Times New Roman"/>
          <w:u w:val="single"/>
        </w:rPr>
        <w:t>régénérative</w:t>
      </w:r>
    </w:p>
    <w:p>
      <w:pPr>
        <w:numPr>
          <w:ilvl w:val="1"/>
          <w:numId w:val="11"/>
        </w:numPr>
      </w:pPr>
      <w:r>
        <w:rPr>
          <w:rFonts w:ascii="Times New Roman" w:hAnsi="Times New Roman"/>
        </w:rPr>
        <w:t>Carence en fer</w:t>
      </w:r>
    </w:p>
    <w:p>
      <w:pPr>
        <w:numPr>
          <w:ilvl w:val="2"/>
          <w:numId w:val="11"/>
        </w:numPr>
      </w:pPr>
      <w:r>
        <w:rPr>
          <w:rFonts w:ascii="Times New Roman" w:hAnsi="Times New Roman"/>
        </w:rPr>
        <w:t>Malnutrition</w:t>
      </w:r>
    </w:p>
    <w:p>
      <w:pPr>
        <w:numPr>
          <w:ilvl w:val="2"/>
          <w:numId w:val="11"/>
        </w:numPr>
      </w:pPr>
      <w:r>
        <w:rPr>
          <w:rFonts w:ascii="Times New Roman" w:hAnsi="Times New Roman"/>
        </w:rPr>
        <w:t>Excès de besoin</w:t>
      </w:r>
    </w:p>
    <w:p>
      <w:pPr>
        <w:numPr>
          <w:ilvl w:val="2"/>
          <w:numId w:val="11"/>
        </w:numPr>
      </w:pPr>
      <w:r>
        <w:rPr>
          <w:rFonts w:ascii="Times New Roman" w:hAnsi="Times New Roman"/>
        </w:rPr>
        <w:t>Malabsorption</w:t>
      </w:r>
    </w:p>
    <w:p>
      <w:pPr>
        <w:numPr>
          <w:ilvl w:val="1"/>
          <w:numId w:val="11"/>
        </w:numPr>
      </w:pPr>
      <w:r>
        <w:rPr>
          <w:rFonts w:ascii="Times New Roman" w:hAnsi="Times New Roman"/>
        </w:rPr>
        <w:t>Infection chronique, syndrome inflammatoire, cancer</w:t>
      </w:r>
    </w:p>
    <w:p>
      <w:pPr/>
    </w:p>
    <w:p>
      <w:pPr>
        <w:pStyle w:val="Heading2"/>
      </w:pPr>
      <w:r>
        <w:rPr>
          <w:rFonts w:ascii="Times New Roman" w:hAnsi="Times New Roman"/>
        </w:rPr>
        <w:t>COMPLICATIONS</w:t>
      </w:r>
    </w:p>
    <w:p>
      <w:pPr>
        <w:numPr>
          <w:ilvl w:val="0"/>
          <w:numId w:val="12"/>
        </w:numPr>
      </w:pPr>
      <w:r>
        <w:rPr>
          <w:rFonts w:ascii="Times New Roman" w:hAnsi="Times New Roman"/>
        </w:rPr>
        <w:t xml:space="preserve">Trophique à type </w:t>
      </w:r>
      <w:r>
        <w:rPr>
          <w:rFonts w:ascii="Times New Roman" w:hAnsi="Times New Roman"/>
          <w:u w:val="single"/>
        </w:rPr>
        <w:t>d'atrophie</w:t>
      </w:r>
    </w:p>
    <w:p>
      <w:pPr>
        <w:numPr>
          <w:ilvl w:val="1"/>
          <w:numId w:val="12"/>
        </w:numPr>
      </w:pPr>
      <w:r>
        <w:rPr>
          <w:rFonts w:ascii="Times New Roman" w:hAnsi="Times New Roman"/>
        </w:rPr>
        <w:t>Muqueuses, phares, peau</w:t>
      </w:r>
    </w:p>
    <w:p>
      <w:pPr>
        <w:numPr>
          <w:ilvl w:val="0"/>
          <w:numId w:val="12"/>
        </w:numPr>
      </w:pPr>
      <w:r>
        <w:rPr>
          <w:rFonts w:ascii="Times New Roman" w:hAnsi="Times New Roman"/>
        </w:rPr>
        <w:t>Neurologique</w:t>
      </w:r>
    </w:p>
    <w:p>
      <w:pPr>
        <w:numPr>
          <w:ilvl w:val="1"/>
          <w:numId w:val="12"/>
        </w:numPr>
      </w:pPr>
      <w:r>
        <w:rPr>
          <w:rFonts w:ascii="Times New Roman" w:hAnsi="Times New Roman"/>
        </w:rPr>
        <w:t>Névralgies</w:t>
      </w:r>
    </w:p>
    <w:p>
      <w:pPr>
        <w:numPr>
          <w:ilvl w:val="1"/>
          <w:numId w:val="12"/>
        </w:numPr>
      </w:pPr>
      <w:r>
        <w:rPr>
          <w:rFonts w:ascii="Times New Roman" w:hAnsi="Times New Roman"/>
        </w:rPr>
        <w:t>Paresthésies</w:t>
      </w:r>
    </w:p>
    <w:p>
      <w:pPr>
        <w:numPr>
          <w:ilvl w:val="0"/>
          <w:numId w:val="12"/>
        </w:numPr>
      </w:pPr>
      <w:r>
        <w:rPr>
          <w:rFonts w:ascii="Times New Roman" w:hAnsi="Times New Roman"/>
        </w:rPr>
        <w:t>Hémodynamique</w:t>
      </w:r>
    </w:p>
    <w:p>
      <w:pPr>
        <w:numPr>
          <w:ilvl w:val="1"/>
          <w:numId w:val="12"/>
        </w:numPr>
      </w:pPr>
      <w:r>
        <w:rPr>
          <w:rFonts w:ascii="Times New Roman" w:hAnsi="Times New Roman"/>
        </w:rPr>
        <w:t xml:space="preserve">Collapsus, </w:t>
      </w:r>
    </w:p>
    <w:p>
      <w:pPr>
        <w:numPr>
          <w:ilvl w:val="1"/>
          <w:numId w:val="12"/>
        </w:numPr>
      </w:pPr>
      <w:r>
        <w:rPr>
          <w:rFonts w:ascii="Times New Roman" w:hAnsi="Times New Roman"/>
        </w:rPr>
        <w:t xml:space="preserve">Anoxie </w:t>
      </w:r>
      <w:r>
        <w:rPr>
          <w:rFonts w:ascii="Times New Roman" w:hAnsi="Times New Roman"/>
        </w:rPr>
        <w:t>viscérale :</w:t>
      </w:r>
      <w:r>
        <w:rPr>
          <w:rFonts w:ascii="Times New Roman" w:hAnsi="Times New Roman"/>
        </w:rPr>
        <w:t xml:space="preserve"> myocardique, cérébrale</w:t>
      </w:r>
    </w:p>
    <w:p>
      <w:pPr/>
    </w:p>
    <w:p>
      <w:pPr>
        <w:pStyle w:val="Heading2"/>
      </w:pPr>
      <w:r>
        <w:rPr>
          <w:rFonts w:ascii="Times New Roman" w:hAnsi="Times New Roman"/>
        </w:rPr>
        <w:t>TRAITEMENT</w:t>
      </w:r>
      <w:r>
        <w:rPr>
          <w:rFonts w:ascii="Times New Roman" w:hAnsi="Times New Roman"/>
        </w:rPr>
        <w:t xml:space="preserve"> </w:t>
      </w:r>
    </w:p>
    <w:p>
      <w:pPr>
        <w:pStyle w:val="Heading3"/>
      </w:pPr>
      <w:r>
        <w:rPr/>
        <w:t>OBJECTIFS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Rétablir la volémie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Rétablir le taux d'hémoglobine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 xml:space="preserve">Assurer une </w:t>
      </w:r>
      <w:r>
        <w:rPr>
          <w:rFonts w:ascii="Times New Roman" w:hAnsi="Times New Roman"/>
        </w:rPr>
        <w:t>regénération</w:t>
      </w:r>
      <w:r>
        <w:rPr>
          <w:rFonts w:ascii="Times New Roman" w:hAnsi="Times New Roman"/>
        </w:rPr>
        <w:t xml:space="preserve"> normale des globules rouges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Guérir la cause</w:t>
      </w:r>
    </w:p>
    <w:p>
      <w:pPr>
        <w:pStyle w:val="Heading3"/>
      </w:pPr>
      <w:r>
        <w:rPr/>
        <w:t>PRINCIPE :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Traitement martial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Traitements adjuvants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Traitement étiologique</w:t>
      </w:r>
    </w:p>
    <w:p>
      <w:pPr/>
    </w:p>
    <w:p>
      <w:pPr>
        <w:pStyle w:val="Heading3"/>
      </w:pPr>
      <w:r>
        <w:rPr/>
        <w:t xml:space="preserve">TRAITEMENT MARTIAL : FER (per os) 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 xml:space="preserve">Fer (+ vitamine </w:t>
      </w:r>
      <w:r>
        <w:rPr>
          <w:rFonts w:ascii="Times New Roman" w:hAnsi="Times New Roman"/>
        </w:rPr>
        <w:t>C(</w:t>
      </w:r>
      <w:r>
        <w:rPr>
          <w:rFonts w:ascii="Times New Roman" w:hAnsi="Times New Roman"/>
        </w:rPr>
        <w:t xml:space="preserve">améliore la fixation de fer), et/ou </w:t>
      </w:r>
      <w:r>
        <w:rPr>
          <w:rFonts w:ascii="Times New Roman" w:hAnsi="Times New Roman"/>
        </w:rPr>
        <w:t>vitamine</w:t>
      </w:r>
      <w:r>
        <w:rPr>
          <w:rFonts w:ascii="Times New Roman" w:hAnsi="Times New Roman"/>
        </w:rPr>
        <w:t xml:space="preserve"> B 12) </w:t>
      </w:r>
    </w:p>
    <w:p>
      <w:pPr>
        <w:numPr>
          <w:ilvl w:val="1"/>
          <w:numId w:val="14"/>
        </w:numPr>
      </w:pPr>
      <w:r>
        <w:rPr>
          <w:rFonts w:ascii="Times New Roman" w:hAnsi="Times New Roman"/>
          <w:b/>
        </w:rPr>
        <w:t xml:space="preserve">Conduite 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>Posologie :</w:t>
      </w:r>
      <w:r>
        <w:rPr>
          <w:rFonts w:ascii="Times New Roman" w:hAnsi="Times New Roman"/>
        </w:rPr>
        <w:t xml:space="preserve"> dose optimale tolérée (</w:t>
      </w:r>
      <w:r>
        <w:rPr>
          <w:rFonts w:ascii="Times New Roman" w:hAnsi="Times New Roman"/>
          <w:i/>
        </w:rPr>
        <w:t xml:space="preserve">souvent mal tolérée) : </w:t>
      </w:r>
      <w:r>
        <w:rPr>
          <w:rFonts w:ascii="Times New Roman" w:hAnsi="Times New Roman"/>
        </w:rPr>
        <w:t xml:space="preserve"> 5mg/kg/j en 3 prises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>Réparation en 3-4 semaines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>Réserves suffisantes</w:t>
      </w:r>
      <w:r>
        <w:rPr>
          <w:rFonts w:ascii="Times New Roman" w:hAnsi="Times New Roman"/>
        </w:rPr>
        <w:t xml:space="preserve"> en fer en 3-4 semaines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>Petites doses prolongées</w:t>
      </w:r>
    </w:p>
    <w:p>
      <w:pPr>
        <w:numPr>
          <w:ilvl w:val="2"/>
          <w:numId w:val="14"/>
        </w:numPr>
      </w:pPr>
      <w:r>
        <w:rPr>
          <w:rFonts w:ascii="Times New Roman" w:hAnsi="Times New Roman"/>
          <w:b/>
          <w:color w:val="FF0000"/>
        </w:rPr>
        <w:t>Poursuite jusqu'à guérison de la cause</w:t>
      </w:r>
    </w:p>
    <w:p>
      <w:pPr>
        <w:numPr>
          <w:ilvl w:val="1"/>
          <w:numId w:val="14"/>
        </w:numPr>
      </w:pPr>
      <w:r>
        <w:rPr>
          <w:rFonts w:ascii="Times New Roman" w:hAnsi="Times New Roman"/>
          <w:b/>
        </w:rPr>
        <w:t>Effets secondaires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 xml:space="preserve">Troubles </w:t>
      </w:r>
      <w:r>
        <w:rPr>
          <w:rFonts w:ascii="Times New Roman" w:hAnsi="Times New Roman"/>
        </w:rPr>
        <w:t>digestifs:</w:t>
      </w:r>
      <w:r>
        <w:rPr>
          <w:rFonts w:ascii="Times New Roman" w:hAnsi="Times New Roman"/>
        </w:rPr>
        <w:t xml:space="preserve"> diarrhées, nausées, vomissements(50% des patients) </w:t>
      </w:r>
      <w:r>
        <w:rPr>
          <w:rFonts w:ascii="Times New Roman" w:hAnsi="Times New Roman"/>
          <w:i/>
        </w:rPr>
        <w:t>arrêt Puis repris après quelques temps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 xml:space="preserve">Coloration noire (selles et gencives) 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 xml:space="preserve">Fer </w:t>
      </w:r>
      <w:r>
        <w:rPr>
          <w:rFonts w:ascii="Times New Roman" w:hAnsi="Times New Roman"/>
        </w:rPr>
        <w:t>UCB:</w:t>
      </w:r>
      <w:r>
        <w:rPr>
          <w:rFonts w:ascii="Times New Roman" w:hAnsi="Times New Roman"/>
        </w:rPr>
        <w:t xml:space="preserve"> 75 mg de Fer/CP, 1cp/j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>Nurifer</w:t>
      </w:r>
      <w:r>
        <w:rPr>
          <w:rFonts w:ascii="Times New Roman" w:hAnsi="Times New Roman"/>
        </w:rPr>
        <w:t xml:space="preserve">* (gélules) ou </w:t>
      </w:r>
      <w:r>
        <w:rPr>
          <w:rFonts w:ascii="Times New Roman" w:hAnsi="Times New Roman"/>
        </w:rPr>
        <w:t>Fedate</w:t>
      </w:r>
      <w:r>
        <w:rPr>
          <w:rFonts w:ascii="Times New Roman" w:hAnsi="Times New Roman"/>
        </w:rPr>
        <w:t xml:space="preserve">* (gélule) 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 xml:space="preserve">Fer </w:t>
      </w:r>
      <w:r>
        <w:rPr>
          <w:rFonts w:ascii="Times New Roman" w:hAnsi="Times New Roman"/>
        </w:rPr>
        <w:t>carbonyl</w:t>
      </w:r>
      <w:r>
        <w:rPr>
          <w:rFonts w:ascii="Times New Roman" w:hAnsi="Times New Roman"/>
        </w:rPr>
        <w:t xml:space="preserve"> (100mg) + Acide folie, cyanocobalamine, acide ascorbique, zinc</w:t>
      </w:r>
    </w:p>
    <w:p>
      <w:pPr>
        <w:numPr>
          <w:ilvl w:val="2"/>
          <w:numId w:val="14"/>
        </w:numPr>
      </w:pPr>
      <w:r>
        <w:rPr>
          <w:rFonts w:ascii="Times New Roman" w:hAnsi="Times New Roman"/>
          <w:b/>
        </w:rPr>
        <w:t xml:space="preserve">1 </w:t>
      </w:r>
      <w:r>
        <w:rPr>
          <w:rFonts w:ascii="Times New Roman" w:hAnsi="Times New Roman"/>
        </w:rPr>
        <w:t>gélule ou 1 comprimé à macher(</w:t>
      </w:r>
      <w:r>
        <w:rPr>
          <w:rFonts w:ascii="Times New Roman" w:hAnsi="Times New Roman"/>
        </w:rPr>
        <w:t>càm</w:t>
      </w:r>
      <w:r>
        <w:rPr>
          <w:rFonts w:ascii="Times New Roman" w:hAnsi="Times New Roman"/>
        </w:rPr>
        <w:t>) /j ou x2/j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>Fercefol</w:t>
      </w:r>
      <w:r>
        <w:rPr>
          <w:rFonts w:ascii="Times New Roman" w:hAnsi="Times New Roman"/>
        </w:rPr>
        <w:t>*: Fer + acide folique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>75mg de fer par comprimé, 1cp/j ou x2/j</w:t>
      </w:r>
    </w:p>
    <w:p>
      <w:pPr>
        <w:numPr>
          <w:ilvl w:val="1"/>
          <w:numId w:val="14"/>
        </w:numPr>
      </w:pPr>
      <w:r>
        <w:rPr>
          <w:rFonts w:ascii="Times New Roman" w:hAnsi="Times New Roman"/>
          <w:b/>
        </w:rPr>
        <w:t>Bioferon</w:t>
      </w:r>
      <w:r>
        <w:rPr>
          <w:rFonts w:ascii="Times New Roman" w:hAnsi="Times New Roman"/>
          <w:b/>
        </w:rPr>
        <w:t xml:space="preserve">* </w:t>
      </w:r>
      <w:r>
        <w:rPr>
          <w:rFonts w:ascii="Times New Roman" w:hAnsi="Times New Roman"/>
        </w:rPr>
        <w:t>Fer + acide folique + vitamine B12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 xml:space="preserve">75mg de Fer par comprimé, 50mg de Fer par </w:t>
      </w:r>
      <w:r>
        <w:rPr>
          <w:rFonts w:ascii="Times New Roman" w:hAnsi="Times New Roman"/>
        </w:rPr>
        <w:t>càm</w:t>
      </w:r>
    </w:p>
    <w:p>
      <w:pPr>
        <w:numPr>
          <w:ilvl w:val="1"/>
          <w:numId w:val="14"/>
        </w:numPr>
      </w:pPr>
      <w:r>
        <w:rPr>
          <w:rFonts w:ascii="Times New Roman" w:hAnsi="Times New Roman"/>
          <w:b/>
        </w:rPr>
        <w:t xml:space="preserve">Les injections </w:t>
      </w:r>
      <w:r>
        <w:rPr>
          <w:rFonts w:ascii="Times New Roman" w:hAnsi="Times New Roman"/>
          <w:b/>
        </w:rPr>
        <w:t>Venofer</w:t>
      </w:r>
      <w:r>
        <w:rPr>
          <w:rFonts w:ascii="Times New Roman" w:hAnsi="Times New Roman"/>
          <w:b/>
        </w:rPr>
        <w:t xml:space="preserve">* </w:t>
      </w:r>
      <w:r>
        <w:rPr>
          <w:rFonts w:ascii="Times New Roman" w:hAnsi="Times New Roman"/>
          <w:b/>
        </w:rPr>
        <w:t>Sucrofer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: indication exceptionnelle sous surveillance médicale</w:t>
      </w:r>
    </w:p>
    <w:p>
      <w:pPr>
        <w:pStyle w:val="Heading3"/>
      </w:pPr>
      <w:r>
        <w:rPr/>
        <w:t>TRAITEMENT ADJUVANT</w:t>
      </w:r>
    </w:p>
    <w:p>
      <w:pPr>
        <w:numPr>
          <w:ilvl w:val="1"/>
          <w:numId w:val="14"/>
        </w:numPr>
      </w:pPr>
      <w:r>
        <w:rPr>
          <w:rFonts w:ascii="Times New Roman" w:hAnsi="Times New Roman"/>
          <w:b/>
        </w:rPr>
        <w:t>Transfusion sanguine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>Anémie aiguë ou profonde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>Culot globulaire</w:t>
      </w:r>
    </w:p>
    <w:p>
      <w:pPr>
        <w:numPr>
          <w:ilvl w:val="1"/>
          <w:numId w:val="14"/>
        </w:numPr>
      </w:pPr>
      <w:r>
        <w:rPr>
          <w:rFonts w:ascii="Times New Roman" w:hAnsi="Times New Roman"/>
          <w:b/>
        </w:rPr>
        <w:t>Facteurs d'absorption ou d'assimilation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>Vitamine C, folates, vitamine B 12, oligoéléments (cobalt), anabolisants</w:t>
      </w:r>
    </w:p>
    <w:p>
      <w:pPr>
        <w:pStyle w:val="Heading3"/>
      </w:pPr>
      <w:r>
        <w:rPr/>
        <w:t>TRAITEMENT ETIOLOGIQUES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>Source hémorragique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>Parasitose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>Apport</w:t>
      </w:r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