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ANEMIE PAR INSUFFISANCE MEDULLAIRE</w:t>
      </w:r>
    </w:p>
    <w:p>
      <w:pPr/>
      <w:r>
        <w:rPr>
          <w:rFonts w:ascii="Times New Roman" w:hAnsi="Times New Roman"/>
          <w:i/>
        </w:rPr>
        <w:t>Association avec d'autres anomalies :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plaquettaires et granulocytaires</w:t>
      </w:r>
    </w:p>
    <w:p>
      <w:pPr/>
    </w:p>
    <w:p>
      <w:pPr>
        <w:pStyle w:val="Heading2"/>
      </w:pPr>
      <w:r>
        <w:rPr>
          <w:rFonts w:ascii="Times New Roman" w:hAnsi="Times New Roman"/>
        </w:rPr>
        <w:t>DEFINITION</w:t>
      </w:r>
    </w:p>
    <w:p>
      <w:pPr/>
      <w:r>
        <w:rPr>
          <w:rFonts w:ascii="Times New Roman" w:hAnsi="Times New Roman"/>
        </w:rPr>
        <w:t xml:space="preserve">Anémie par </w:t>
      </w:r>
      <w:r>
        <w:rPr>
          <w:rFonts w:ascii="Times New Roman" w:hAnsi="Times New Roman"/>
          <w:b/>
        </w:rPr>
        <w:t xml:space="preserve">incapacité de la moëlle à assurer une hématopoïèse normale 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>Anémie isolée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 xml:space="preserve">Ou Bicytopénie (anémie + neutropénie/Thrombopénie) </w:t>
      </w:r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 xml:space="preserve">Ou Pancytopénie (anémie + neutropénie + Thrombopénie) </w:t>
      </w:r>
    </w:p>
    <w:p>
      <w:pPr/>
    </w:p>
    <w:p>
      <w:pPr>
        <w:pStyle w:val="Heading2"/>
      </w:pPr>
      <w:r>
        <w:rPr>
          <w:rFonts w:ascii="Times New Roman" w:hAnsi="Times New Roman"/>
        </w:rPr>
        <w:t>CLINIQUE :</w:t>
      </w:r>
      <w:r>
        <w:rPr>
          <w:rFonts w:ascii="Times New Roman" w:hAnsi="Times New Roman"/>
        </w:rPr>
        <w:t xml:space="preserve"> PANCYTOPÉNIE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Début :</w:t>
      </w:r>
      <w:r>
        <w:rPr>
          <w:rFonts w:ascii="Times New Roman" w:hAnsi="Times New Roman"/>
        </w:rPr>
        <w:t xml:space="preserve"> insidieux (syndrome clinique d'anémie ou </w:t>
      </w:r>
      <w:r>
        <w:rPr>
          <w:rFonts w:ascii="Times New Roman" w:hAnsi="Times New Roman"/>
        </w:rPr>
        <w:t>hémorragie :</w:t>
      </w:r>
      <w:r>
        <w:rPr>
          <w:rFonts w:ascii="Times New Roman" w:hAnsi="Times New Roman"/>
        </w:rPr>
        <w:t xml:space="preserve"> purpura, épistaxis, gingivorragie) ou </w:t>
      </w:r>
      <w:r>
        <w:rPr>
          <w:rFonts w:ascii="Times New Roman" w:hAnsi="Times New Roman"/>
        </w:rPr>
        <w:t>brusque (</w:t>
      </w:r>
      <w:r>
        <w:rPr>
          <w:rFonts w:ascii="Times New Roman" w:hAnsi="Times New Roman"/>
        </w:rPr>
        <w:t xml:space="preserve">syndrome infectieux </w:t>
      </w:r>
      <w:r>
        <w:rPr>
          <w:rFonts w:ascii="Times New Roman" w:hAnsi="Times New Roman"/>
          <w:i/>
        </w:rPr>
        <w:t>ORL ou Oropharyngée+++</w:t>
      </w:r>
      <w:r>
        <w:rPr>
          <w:rFonts w:ascii="Times New Roman" w:hAnsi="Times New Roman"/>
        </w:rPr>
        <w:t xml:space="preserve">) 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Phase d'état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anémique :</w:t>
      </w:r>
      <w:r>
        <w:rPr>
          <w:rFonts w:ascii="Times New Roman" w:hAnsi="Times New Roman"/>
        </w:rPr>
        <w:t xml:space="preserve"> asthénie, dyspnée, tachycardie, signes </w:t>
      </w:r>
      <w:r>
        <w:rPr>
          <w:rFonts w:ascii="Times New Roman" w:hAnsi="Times New Roman"/>
        </w:rPr>
        <w:t>neurosensoriels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hémorragique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cutanéo-muqueux</w:t>
      </w:r>
      <w:r>
        <w:rPr>
          <w:rFonts w:ascii="Times New Roman" w:hAnsi="Times New Roman"/>
        </w:rPr>
        <w:t>, viscéral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>infectieux :</w:t>
      </w:r>
      <w:r>
        <w:rPr>
          <w:rFonts w:ascii="Times New Roman" w:hAnsi="Times New Roman"/>
        </w:rPr>
        <w:t xml:space="preserve"> fièvre, angine, ulcérations bucco-pharyngées</w:t>
      </w:r>
    </w:p>
    <w:p>
      <w:pPr/>
    </w:p>
    <w:p>
      <w:pPr>
        <w:pStyle w:val="Heading2"/>
      </w:pPr>
      <w:r>
        <w:rPr>
          <w:rFonts w:ascii="Times New Roman" w:hAnsi="Times New Roman"/>
        </w:rPr>
        <w:t xml:space="preserve">BIOLOGIE SANGUINE </w:t>
      </w:r>
      <w:r>
        <w:rPr>
          <w:rFonts w:ascii="Times New Roman" w:hAnsi="Times New Roman"/>
        </w:rPr>
        <w:t>: Pancytopénie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Anémie :</w:t>
      </w:r>
      <w:r>
        <w:rPr>
          <w:rFonts w:ascii="Times New Roman" w:hAnsi="Times New Roman"/>
        </w:rPr>
        <w:t xml:space="preserve"> normocytaire normochrome arégénérative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Leucopénie :</w:t>
      </w:r>
      <w:r>
        <w:rPr>
          <w:rFonts w:ascii="Times New Roman" w:hAnsi="Times New Roman"/>
        </w:rPr>
        <w:t xml:space="preserve"> neutropénie, </w:t>
      </w:r>
      <w:r>
        <w:rPr>
          <w:rFonts w:ascii="Times New Roman" w:hAnsi="Times New Roman"/>
        </w:rPr>
        <w:t>lymphocytose (</w:t>
      </w:r>
      <w:r>
        <w:rPr>
          <w:rFonts w:ascii="Times New Roman" w:hAnsi="Times New Roman"/>
          <w:i/>
        </w:rPr>
        <w:t>relative, compensatrice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Thrombopénie variable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 xml:space="preserve">Signes </w:t>
      </w:r>
      <w:r>
        <w:rPr>
          <w:rFonts w:ascii="Times New Roman" w:hAnsi="Times New Roman"/>
        </w:rPr>
        <w:t>négatifs :</w:t>
      </w:r>
      <w:r>
        <w:rPr>
          <w:rFonts w:ascii="Times New Roman" w:hAnsi="Times New Roman"/>
        </w:rPr>
        <w:t xml:space="preserve"> fer normal, pas d'hémolyse</w:t>
      </w:r>
    </w:p>
    <w:p>
      <w:pPr/>
    </w:p>
    <w:p>
      <w:pPr>
        <w:pStyle w:val="Heading2"/>
      </w:pPr>
      <w:r>
        <w:rPr>
          <w:rFonts w:ascii="Times New Roman" w:hAnsi="Times New Roman"/>
        </w:rPr>
        <w:t>BIOLOGIE DE LA MOELLE</w:t>
      </w:r>
    </w:p>
    <w:p>
      <w:pPr>
        <w:pStyle w:val="Heading3"/>
      </w:pPr>
      <w:r>
        <w:rPr>
          <w:rFonts w:ascii="Times New Roman" w:hAnsi="Times New Roman"/>
        </w:rPr>
        <w:t>Médullogramme</w:t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 xml:space="preserve">Frottis pauvre en éléments </w:t>
      </w:r>
      <w:r>
        <w:rPr>
          <w:rFonts w:ascii="Times New Roman" w:hAnsi="Times New Roman"/>
        </w:rPr>
        <w:t>nucléés :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 xml:space="preserve">Lignées érythroblastique, granulocytaire, </w:t>
      </w:r>
      <w:r>
        <w:rPr>
          <w:rFonts w:ascii="Times New Roman" w:hAnsi="Times New Roman"/>
        </w:rPr>
        <w:t>mégacaryocytaire :</w:t>
      </w:r>
      <w:r>
        <w:rPr>
          <w:rFonts w:ascii="Times New Roman" w:hAnsi="Times New Roman"/>
        </w:rPr>
        <w:t xml:space="preserve"> rares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Lymphocytose et plasmocytose relatives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>En fonction de l'étiologie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Envahissement par des hémopathies malignes, métastases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Myélodysplasie</w:t>
      </w:r>
    </w:p>
    <w:p>
      <w:pPr/>
    </w:p>
    <w:p>
      <w:pPr>
        <w:pStyle w:val="Heading3"/>
      </w:pPr>
      <w:r>
        <w:rPr>
          <w:rFonts w:ascii="Times New Roman" w:hAnsi="Times New Roman"/>
        </w:rPr>
        <w:t>Biopsie ostéo-médullaire</w:t>
      </w:r>
      <w:r>
        <w:rPr>
          <w:rFonts w:ascii="Times New Roman" w:hAnsi="Times New Roman"/>
        </w:rPr>
        <w:t xml:space="preserve"> </w:t>
      </w:r>
    </w:p>
    <w:p>
      <w:pPr>
        <w:numPr>
          <w:ilvl w:val="0"/>
          <w:numId w:val="46"/>
        </w:numPr>
      </w:pPr>
      <w:r>
        <w:rPr>
          <w:rFonts w:ascii="Times New Roman" w:hAnsi="Times New Roman"/>
        </w:rPr>
        <w:t>Moëlle pauvre, voire désertique</w:t>
      </w:r>
    </w:p>
    <w:p>
      <w:pPr>
        <w:numPr>
          <w:ilvl w:val="0"/>
          <w:numId w:val="46"/>
        </w:numPr>
      </w:pPr>
      <w:r>
        <w:rPr>
          <w:rFonts w:ascii="Times New Roman" w:hAnsi="Times New Roman"/>
        </w:rPr>
        <w:t xml:space="preserve">Modifications structurales (fibres, vascularisation) </w:t>
      </w:r>
    </w:p>
    <w:p>
      <w:pPr/>
    </w:p>
    <w:p>
      <w:pPr>
        <w:pStyle w:val="Heading2"/>
      </w:pPr>
      <w:r>
        <w:rPr>
          <w:rFonts w:ascii="Times New Roman" w:hAnsi="Times New Roman"/>
        </w:rPr>
        <w:t>FORMES CLINIQUES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Monocytopénie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Bicytopénie</w:t>
      </w:r>
    </w:p>
    <w:p>
      <w:pPr>
        <w:numPr>
          <w:ilvl w:val="0"/>
          <w:numId w:val="58"/>
        </w:numPr>
      </w:pPr>
      <w:r>
        <w:rPr>
          <w:rFonts w:ascii="Times New Roman" w:hAnsi="Times New Roman"/>
        </w:rPr>
        <w:t>Selon l'intensité et la nature acquise ou congénitale</w:t>
      </w:r>
    </w:p>
    <w:p>
      <w:pPr>
        <w:pStyle w:val="Heading2"/>
      </w:pPr>
      <w:r>
        <w:rPr>
          <w:rFonts w:ascii="Times New Roman" w:hAnsi="Times New Roman"/>
        </w:rPr>
        <w:t>ETIOLOGIES</w:t>
      </w:r>
    </w:p>
    <w:p>
      <w:pPr>
        <w:numPr>
          <w:ilvl w:val="0"/>
          <w:numId w:val="59"/>
        </w:numPr>
      </w:pPr>
      <w:r>
        <w:rPr>
          <w:rFonts w:ascii="Times New Roman" w:hAnsi="Times New Roman"/>
          <w:b/>
        </w:rPr>
        <w:t>Chez l'adulte</w:t>
      </w:r>
    </w:p>
    <w:p>
      <w:pPr>
        <w:numPr>
          <w:ilvl w:val="1"/>
          <w:numId w:val="59"/>
        </w:numPr>
      </w:pPr>
      <w:r>
        <w:rPr>
          <w:rFonts w:ascii="Times New Roman" w:hAnsi="Times New Roman"/>
          <w:b/>
        </w:rPr>
        <w:t>Toxiques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</w:rPr>
        <w:t xml:space="preserve"> lignées granulocytaires surtout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 xml:space="preserve">Produits constamment </w:t>
      </w:r>
      <w:r>
        <w:rPr>
          <w:rFonts w:ascii="Times New Roman" w:hAnsi="Times New Roman"/>
        </w:rPr>
        <w:t>toxiques :</w:t>
      </w:r>
      <w:r>
        <w:rPr>
          <w:rFonts w:ascii="Times New Roman" w:hAnsi="Times New Roman"/>
        </w:rPr>
        <w:t xml:space="preserve"> benzène, antimitotiques, </w:t>
      </w:r>
      <w:r>
        <w:rPr>
          <w:rFonts w:ascii="Times New Roman" w:hAnsi="Times New Roman"/>
        </w:rPr>
        <w:t>radiation ionisante</w:t>
      </w:r>
      <w:r>
        <w:rPr>
          <w:rFonts w:ascii="Times New Roman" w:hAnsi="Times New Roman"/>
        </w:rPr>
        <w:t>, métaux lourds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Produits occasionnellement toxiques</w:t>
      </w:r>
    </w:p>
    <w:p>
      <w:pPr>
        <w:numPr>
          <w:ilvl w:val="3"/>
          <w:numId w:val="59"/>
        </w:numPr>
      </w:pPr>
      <w:r>
        <w:rPr>
          <w:rFonts w:ascii="Times New Roman" w:hAnsi="Times New Roman"/>
        </w:rPr>
        <w:t xml:space="preserve">Chloramphénicol, </w:t>
      </w:r>
      <w:r>
        <w:rPr>
          <w:rFonts w:ascii="Times New Roman" w:hAnsi="Times New Roman"/>
        </w:rPr>
        <w:t>hydantoïnes</w:t>
      </w:r>
      <w:r>
        <w:rPr>
          <w:rFonts w:ascii="Times New Roman" w:hAnsi="Times New Roman"/>
        </w:rPr>
        <w:t>, antithyroïdiens de synthèse</w:t>
      </w:r>
    </w:p>
    <w:p>
      <w:pPr>
        <w:numPr>
          <w:ilvl w:val="3"/>
          <w:numId w:val="59"/>
        </w:numPr>
      </w:pPr>
      <w:r>
        <w:rPr>
          <w:rFonts w:ascii="Times New Roman" w:hAnsi="Times New Roman"/>
        </w:rPr>
        <w:t>Antalgique, Ainsi, sulfamides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Décoction traditionnelle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Insecticides</w:t>
      </w:r>
    </w:p>
    <w:p>
      <w:pPr>
        <w:numPr>
          <w:ilvl w:val="1"/>
          <w:numId w:val="59"/>
        </w:numPr>
      </w:pPr>
      <w:r>
        <w:rPr>
          <w:rFonts w:ascii="Times New Roman" w:hAnsi="Times New Roman"/>
          <w:b/>
        </w:rPr>
        <w:t>Envahissement médullaire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 xml:space="preserve">Cellules hématologiques (hémopathies malignes) 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Cellules métastatiques</w:t>
      </w:r>
    </w:p>
    <w:p>
      <w:pPr>
        <w:numPr>
          <w:ilvl w:val="1"/>
          <w:numId w:val="59"/>
        </w:numPr>
      </w:pPr>
      <w:r>
        <w:rPr>
          <w:rFonts w:ascii="Times New Roman" w:hAnsi="Times New Roman"/>
          <w:b/>
        </w:rPr>
        <w:t>Autres :</w:t>
      </w:r>
      <w:r>
        <w:rPr>
          <w:rFonts w:ascii="Times New Roman" w:hAnsi="Times New Roman"/>
          <w:b/>
        </w:rPr>
        <w:t xml:space="preserve"> 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infection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 xml:space="preserve">tuberculose, virale) 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IR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Tumeur du thymus (thymome)</w:t>
      </w:r>
    </w:p>
    <w:p>
      <w:pPr>
        <w:numPr>
          <w:ilvl w:val="2"/>
          <w:numId w:val="59"/>
        </w:numPr>
      </w:pPr>
      <w:r>
        <w:rPr>
          <w:rFonts w:ascii="Times New Roman" w:hAnsi="Times New Roman"/>
        </w:rPr>
        <w:t>Anémie hémolytique chronique évolutive</w:t>
      </w:r>
    </w:p>
    <w:p>
      <w:pPr>
        <w:numPr>
          <w:ilvl w:val="1"/>
          <w:numId w:val="59"/>
        </w:numPr>
      </w:pPr>
      <w:r>
        <w:rPr>
          <w:rFonts w:ascii="Times New Roman" w:hAnsi="Times New Roman"/>
          <w:b/>
        </w:rPr>
        <w:t xml:space="preserve">Primitive </w:t>
      </w:r>
    </w:p>
    <w:p>
      <w:pPr>
        <w:numPr>
          <w:ilvl w:val="0"/>
          <w:numId w:val="47"/>
        </w:numPr>
      </w:pPr>
      <w:r>
        <w:rPr>
          <w:rFonts w:ascii="Times New Roman" w:hAnsi="Times New Roman"/>
          <w:b/>
          <w:color w:val="000000"/>
        </w:rPr>
        <w:t>Chez l'enfant</w:t>
      </w:r>
    </w:p>
    <w:p>
      <w:pPr>
        <w:numPr>
          <w:ilvl w:val="1"/>
          <w:numId w:val="47"/>
        </w:numPr>
      </w:pPr>
      <w:r>
        <w:rPr>
          <w:rFonts w:ascii="Times New Roman" w:hAnsi="Times New Roman"/>
          <w:color w:val="000000"/>
        </w:rPr>
        <w:t>Celles de l'adulte</w:t>
      </w:r>
    </w:p>
    <w:p>
      <w:pPr>
        <w:numPr>
          <w:ilvl w:val="1"/>
          <w:numId w:val="47"/>
        </w:numPr>
      </w:pPr>
      <w:r>
        <w:rPr>
          <w:rFonts w:ascii="Times New Roman" w:hAnsi="Times New Roman"/>
          <w:color w:val="000000"/>
        </w:rPr>
        <w:t>Congénitales</w:t>
      </w:r>
    </w:p>
    <w:p>
      <w:pPr>
        <w:numPr>
          <w:ilvl w:val="1"/>
          <w:numId w:val="47"/>
        </w:numPr>
      </w:pPr>
      <w:r>
        <w:rPr>
          <w:rFonts w:ascii="Times New Roman" w:hAnsi="Times New Roman"/>
          <w:b/>
          <w:color w:val="000000"/>
        </w:rPr>
        <w:t xml:space="preserve">Maladie de </w:t>
      </w:r>
      <w:r>
        <w:rPr>
          <w:rFonts w:ascii="Times New Roman" w:hAnsi="Times New Roman"/>
          <w:b/>
          <w:color w:val="000000"/>
        </w:rPr>
        <w:t>Blackfan</w:t>
      </w:r>
      <w:r>
        <w:rPr>
          <w:rFonts w:ascii="Times New Roman" w:hAnsi="Times New Roman"/>
          <w:b/>
          <w:color w:val="000000"/>
        </w:rPr>
        <w:t xml:space="preserve"> Diamond (</w:t>
      </w:r>
      <w:r>
        <w:rPr>
          <w:rFonts w:ascii="Times New Roman" w:hAnsi="Times New Roman"/>
          <w:b/>
          <w:color w:val="000000"/>
        </w:rPr>
        <w:t>érythroblastopénie</w:t>
      </w:r>
      <w:r>
        <w:rPr>
          <w:rFonts w:ascii="Times New Roman" w:hAnsi="Times New Roman"/>
          <w:b/>
          <w:color w:val="000000"/>
        </w:rPr>
        <w:t xml:space="preserve"> congénitale) </w:t>
      </w:r>
    </w:p>
    <w:p>
      <w:pPr>
        <w:numPr>
          <w:ilvl w:val="1"/>
          <w:numId w:val="47"/>
        </w:numPr>
      </w:pPr>
      <w:r>
        <w:rPr>
          <w:rFonts w:ascii="Times New Roman" w:hAnsi="Times New Roman"/>
          <w:b/>
          <w:color w:val="000000"/>
        </w:rPr>
        <w:t xml:space="preserve">Maladie de </w:t>
      </w:r>
      <w:r>
        <w:rPr>
          <w:rFonts w:ascii="Times New Roman" w:hAnsi="Times New Roman"/>
          <w:b/>
          <w:color w:val="000000"/>
        </w:rPr>
        <w:t>Fanconi</w:t>
      </w:r>
      <w:r>
        <w:rPr>
          <w:rFonts w:ascii="Times New Roman" w:hAnsi="Times New Roman"/>
          <w:b/>
          <w:color w:val="000000"/>
        </w:rPr>
        <w:t xml:space="preserve"> (aplasie congénitale) </w:t>
      </w:r>
    </w:p>
    <w:p>
      <w:pPr/>
    </w:p>
    <w:p>
      <w:pPr>
        <w:pStyle w:val="Heading2"/>
      </w:pPr>
      <w:r>
        <w:rPr>
          <w:rFonts w:ascii="Times New Roman" w:hAnsi="Times New Roman"/>
        </w:rPr>
        <w:t>EVOLUTION</w:t>
      </w:r>
    </w:p>
    <w:p>
      <w:pPr>
        <w:numPr>
          <w:ilvl w:val="0"/>
          <w:numId w:val="48"/>
        </w:numPr>
      </w:pPr>
      <w:r>
        <w:rPr>
          <w:rFonts w:ascii="Times New Roman" w:hAnsi="Times New Roman"/>
        </w:rPr>
        <w:t>Immédiatement favorable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 xml:space="preserve">Toxique +++ (15-20ème jour) </w:t>
      </w:r>
    </w:p>
    <w:p>
      <w:pPr>
        <w:numPr>
          <w:ilvl w:val="0"/>
          <w:numId w:val="48"/>
        </w:numPr>
      </w:pPr>
      <w:r>
        <w:rPr>
          <w:rFonts w:ascii="Times New Roman" w:hAnsi="Times New Roman"/>
        </w:rPr>
        <w:t xml:space="preserve">Immédiatement </w:t>
      </w:r>
      <w:r>
        <w:rPr>
          <w:rFonts w:ascii="Times New Roman" w:hAnsi="Times New Roman"/>
        </w:rPr>
        <w:t>défavorable :</w:t>
      </w:r>
      <w:r>
        <w:rPr>
          <w:rFonts w:ascii="Times New Roman" w:hAnsi="Times New Roman"/>
        </w:rPr>
        <w:t xml:space="preserve"> aggravation</w:t>
      </w:r>
    </w:p>
    <w:p>
      <w:pPr>
        <w:numPr>
          <w:ilvl w:val="0"/>
          <w:numId w:val="48"/>
        </w:numPr>
      </w:pPr>
      <w:r>
        <w:rPr>
          <w:rFonts w:ascii="Times New Roman" w:hAnsi="Times New Roman"/>
        </w:rPr>
        <w:t xml:space="preserve">Subaiguë ou </w:t>
      </w:r>
      <w:r>
        <w:rPr>
          <w:rFonts w:ascii="Times New Roman" w:hAnsi="Times New Roman"/>
        </w:rPr>
        <w:t>chronique :</w:t>
      </w:r>
      <w:r>
        <w:rPr>
          <w:rFonts w:ascii="Times New Roman" w:hAnsi="Times New Roman"/>
        </w:rPr>
        <w:t xml:space="preserve"> compensation, prolongation</w:t>
      </w:r>
    </w:p>
    <w:p>
      <w:pPr>
        <w:numPr>
          <w:ilvl w:val="1"/>
          <w:numId w:val="48"/>
        </w:numPr>
      </w:pPr>
      <w:r>
        <w:rPr>
          <w:rFonts w:ascii="Times New Roman" w:hAnsi="Times New Roman"/>
        </w:rPr>
        <w:t>Guérison ou aggravation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pStyle w:val="Heading3"/>
      </w:pPr>
      <w:r>
        <w:rPr/>
        <w:t>BUTS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Traiter les </w:t>
      </w:r>
      <w:r>
        <w:rPr>
          <w:rFonts w:ascii="Times New Roman" w:hAnsi="Times New Roman"/>
        </w:rPr>
        <w:t>symptômes :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Hémorragie, anémie, infection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Reprendre l'activité </w:t>
      </w:r>
      <w:r>
        <w:rPr>
          <w:rFonts w:ascii="Times New Roman" w:hAnsi="Times New Roman"/>
        </w:rPr>
        <w:t>médullaire (</w:t>
      </w:r>
      <w:r>
        <w:rPr>
          <w:rFonts w:ascii="Times New Roman" w:hAnsi="Times New Roman"/>
          <w:i/>
        </w:rPr>
        <w:t xml:space="preserve">regénère des cellules normales) 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Traiter la cause</w:t>
      </w:r>
    </w:p>
    <w:p>
      <w:pPr>
        <w:pStyle w:val="Heading3"/>
      </w:pPr>
      <w:r>
        <w:rPr/>
        <w:t>TRAITEMENT SYMPTOMATIQUE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Anémie :</w:t>
      </w:r>
      <w:r>
        <w:rPr>
          <w:rFonts w:ascii="Times New Roman" w:hAnsi="Times New Roman"/>
        </w:rPr>
        <w:t xml:space="preserve"> transfusion de CGR (compatibilisé ou avec </w:t>
      </w:r>
      <w:r>
        <w:rPr>
          <w:rFonts w:ascii="Times New Roman" w:hAnsi="Times New Roman"/>
        </w:rPr>
        <w:t>RAI)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Hémorragie :</w:t>
      </w:r>
      <w:r>
        <w:rPr>
          <w:rFonts w:ascii="Times New Roman" w:hAnsi="Times New Roman"/>
        </w:rPr>
        <w:t xml:space="preserve"> transfusion de plaquettes ou sang frais, corticoïdes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Agranulocytose (</w:t>
      </w:r>
      <w:r>
        <w:rPr>
          <w:rFonts w:ascii="Times New Roman" w:hAnsi="Times New Roman"/>
          <w:i/>
        </w:rPr>
        <w:t xml:space="preserve">neutropénie profonde </w:t>
      </w:r>
      <w:r>
        <w:rPr>
          <w:rFonts w:ascii="Times New Roman" w:hAnsi="Times New Roman"/>
          <w:i/>
        </w:rPr>
      </w:r>
      <w:r>
        <w:rPr>
          <w:rFonts w:ascii="Times New Roman" w:hAnsi="Times New Roman"/>
        </w:rPr>
        <w:t>0,5G/l</w:t>
      </w:r>
      <w:r>
        <w:rPr>
          <w:rFonts w:ascii="Times New Roman" w:hAnsi="Times New Roman"/>
        </w:rPr>
        <w:t>):</w:t>
      </w:r>
      <w:r>
        <w:rPr>
          <w:rFonts w:ascii="Times New Roman" w:hAnsi="Times New Roman"/>
        </w:rPr>
        <w:t xml:space="preserve"> chambre stérile, antibiothérapie, facteur de croissance GCSF , GM CSF si aplasie</w:t>
      </w:r>
    </w:p>
    <w:p>
      <w:pPr>
        <w:pStyle w:val="Heading3"/>
      </w:pPr>
      <w:r>
        <w:rPr/>
        <w:t>TRAITEMENT DE FOND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 xml:space="preserve">Arrêt du produit </w:t>
      </w:r>
      <w:r>
        <w:rPr>
          <w:rFonts w:ascii="Times New Roman" w:hAnsi="Times New Roman"/>
        </w:rPr>
        <w:t>toxique :</w:t>
      </w:r>
      <w:r>
        <w:rPr>
          <w:rFonts w:ascii="Times New Roman" w:hAnsi="Times New Roman"/>
        </w:rPr>
        <w:t xml:space="preserve"> décoction, drogue réputée </w:t>
      </w:r>
      <w:r>
        <w:rPr>
          <w:rFonts w:ascii="Times New Roman" w:hAnsi="Times New Roman"/>
        </w:rPr>
        <w:t>myélotoxique</w:t>
      </w:r>
      <w:r>
        <w:rPr>
          <w:rFonts w:ascii="Times New Roman" w:hAnsi="Times New Roman"/>
        </w:rPr>
        <w:t>, reclassement professionnel</w:t>
      </w:r>
    </w:p>
    <w:p>
      <w:pPr>
        <w:pStyle w:val="Heading4"/>
      </w:pPr>
      <w:r>
        <w:rPr/>
        <w:t>Stimulants de la moelle osseuse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Anabolisants(androgènes)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Les moins androgènes 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Primobolan</w:t>
      </w:r>
      <w:r>
        <w:rPr>
          <w:rFonts w:ascii="Times New Roman" w:hAnsi="Times New Roman"/>
        </w:rPr>
        <w:t xml:space="preserve">* </w:t>
      </w:r>
      <w:r>
        <w:rPr>
          <w:rFonts w:ascii="Times New Roman" w:hAnsi="Times New Roman"/>
        </w:rPr>
        <w:t>Méténolone :</w:t>
      </w:r>
      <w:r>
        <w:rPr>
          <w:rFonts w:ascii="Times New Roman" w:hAnsi="Times New Roman"/>
        </w:rPr>
        <w:t xml:space="preserve"> 1mg/kg/j(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100mg/j)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Fluoxymestérone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Halotestin</w:t>
      </w:r>
      <w:r>
        <w:rPr>
          <w:rFonts w:ascii="Times New Roman" w:hAnsi="Times New Roman"/>
        </w:rPr>
        <w:t xml:space="preserve">* : 2-4 </w:t>
      </w:r>
      <w:r>
        <w:rPr>
          <w:rFonts w:ascii="Times New Roman" w:hAnsi="Times New Roman"/>
        </w:rPr>
        <w:t>comp</w:t>
      </w:r>
      <w:r>
        <w:rPr>
          <w:rFonts w:ascii="Times New Roman" w:hAnsi="Times New Roman"/>
        </w:rPr>
        <w:t xml:space="preserve"> à 5mg/j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Prolongée :</w:t>
      </w:r>
      <w:r>
        <w:rPr>
          <w:rFonts w:ascii="Times New Roman" w:hAnsi="Times New Roman"/>
        </w:rPr>
        <w:t xml:space="preserve"> sup à 4mois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Arrêt progressif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Complications :</w:t>
      </w:r>
      <w:r>
        <w:rPr>
          <w:rFonts w:ascii="Times New Roman" w:hAnsi="Times New Roman"/>
        </w:rPr>
        <w:t xml:space="preserve"> hépatiques, virilisantes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Anabolisants 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Sensibles :</w:t>
      </w:r>
      <w:r>
        <w:rPr>
          <w:rFonts w:ascii="Times New Roman" w:hAnsi="Times New Roman"/>
        </w:rPr>
        <w:t xml:space="preserve"> 4mois à 2ans 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Résistants :</w:t>
      </w:r>
      <w:r>
        <w:rPr>
          <w:rFonts w:ascii="Times New Roman" w:hAnsi="Times New Roman"/>
        </w:rPr>
        <w:t xml:space="preserve"> Greffe de moëlle</w:t>
      </w:r>
    </w:p>
    <w:p>
      <w:pPr>
        <w:ind w:left="2160"/>
      </w:pP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 xml:space="preserve">Analogues de la </w:t>
      </w:r>
      <w:r>
        <w:rPr>
          <w:rFonts w:ascii="Times New Roman" w:hAnsi="Times New Roman"/>
        </w:rPr>
        <w:t>trhombopoiétine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Eltrombopag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 xml:space="preserve">G CSF 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Neupogen</w:t>
      </w:r>
      <w:r>
        <w:rPr>
          <w:rFonts w:ascii="Times New Roman" w:hAnsi="Times New Roman"/>
        </w:rPr>
        <w:t xml:space="preserve">* : </w:t>
      </w:r>
      <w:r>
        <w:rPr>
          <w:rFonts w:ascii="Times New Roman" w:hAnsi="Times New Roman"/>
          <w:i/>
        </w:rPr>
        <w:t xml:space="preserve">utilisé aussi chez les patients sous chimiothérapie afin d'éviter la neutropénie </w:t>
      </w:r>
    </w:p>
    <w:p>
      <w:pPr>
        <w:pStyle w:val="Heading4"/>
      </w:pPr>
      <w:r>
        <w:rPr/>
        <w:t>Immunosuppresseurs :</w:t>
      </w:r>
      <w:r>
        <w:rPr/>
        <w:t xml:space="preserve"> pour les étiologies idiopathiques et auto-immune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La ciclosporine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Sérum anti-lymphocytaire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Alemtuzumab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Ac</w:t>
      </w:r>
      <w:r>
        <w:rPr>
          <w:rFonts w:ascii="Times New Roman" w:hAnsi="Times New Roman"/>
        </w:rPr>
        <w:t xml:space="preserve"> anti-LT) </w:t>
      </w:r>
    </w:p>
    <w:p>
      <w:pPr>
        <w:pStyle w:val="Heading4"/>
      </w:pPr>
      <w:r>
        <w:rPr/>
        <w:t>Corticoïdes :</w:t>
      </w:r>
      <w:r>
        <w:rPr/>
        <w:t xml:space="preserve"> à forte dose (2,5mg/kg/j : Prednisone) </w:t>
      </w:r>
    </w:p>
    <w:p>
      <w:pPr>
        <w:pStyle w:val="Heading4"/>
      </w:pPr>
      <w:r>
        <w:rPr/>
        <w:t>Greffe de moëlle ou greffe de cellules souches hématopoïétiques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Donneur HLA compatible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>Conditionnement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provoquer une </w:t>
      </w:r>
      <w:r>
        <w:rPr>
          <w:rFonts w:ascii="Times New Roman" w:hAnsi="Times New Roman"/>
        </w:rPr>
        <w:t xml:space="preserve">aplasie (par chimiothérapie ou irradiation) 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 xml:space="preserve">Greffe (IV) 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 xml:space="preserve">Suivi de </w:t>
      </w:r>
      <w:r>
        <w:rPr>
          <w:rFonts w:ascii="Times New Roman" w:hAnsi="Times New Roman"/>
        </w:rPr>
        <w:t>greffe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immunosuppresseur</w:t>
      </w:r>
    </w:p>
    <w:p>
      <w:pPr>
        <w:numPr>
          <w:ilvl w:val="1"/>
          <w:numId w:val="49"/>
        </w:numPr>
      </w:pPr>
      <w:r>
        <w:rPr>
          <w:rFonts w:ascii="Times New Roman" w:hAnsi="Times New Roman"/>
        </w:rPr>
        <w:t>Choix du traitement de l'aplasie médullaire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</w:t>
      </w:r>
    </w:p>
    <w:p>
      <w:pPr>
        <w:numPr>
          <w:ilvl w:val="2"/>
          <w:numId w:val="49"/>
        </w:numPr>
      </w:pPr>
      <w:r>
        <w:rPr>
          <w:rFonts w:ascii="Times New Roman" w:hAnsi="Times New Roman"/>
          <w:b/>
        </w:rPr>
        <w:t xml:space="preserve">Au cas par cas </w:t>
      </w:r>
      <w:r>
        <w:rPr>
          <w:rFonts w:ascii="Times New Roman" w:hAnsi="Times New Roman"/>
        </w:rPr>
        <w:t>en fonction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De la cause de l'aplasie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De la sévérité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De l'âge du patient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D'éventuels traitements antérieurs</w:t>
      </w:r>
    </w:p>
    <w:p>
      <w:pPr>
        <w:pStyle w:val="Heading4"/>
      </w:pPr>
      <w:r>
        <w:rPr/>
        <w:t>En cas d'envahissement médullaire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Traitement de l'hémopathie en cause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PEC du cancer </w:t>
      </w:r>
      <w:r>
        <w:rPr>
          <w:rFonts w:ascii="Times New Roman" w:hAnsi="Times New Roman"/>
          <w:i/>
        </w:rPr>
        <w:t>si métastase, traiter le foyer primitif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Support transfusionnel(+hémovigilance) 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CGR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Plaquettes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Antibiothérapie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>Correction des troubles métaboliques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  <w:t xml:space="preserve">Pour la </w:t>
      </w:r>
      <w:r>
        <w:rPr>
          <w:rFonts w:ascii="Times New Roman" w:hAnsi="Times New Roman"/>
          <w:b/>
        </w:rPr>
        <w:t>Myélodysplasie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Support transfusionnel (+hémovigilance) 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CGR</w:t>
      </w:r>
    </w:p>
    <w:p>
      <w:pPr>
        <w:numPr>
          <w:ilvl w:val="4"/>
          <w:numId w:val="49"/>
        </w:numPr>
      </w:pPr>
      <w:r>
        <w:rPr>
          <w:rFonts w:ascii="Times New Roman" w:hAnsi="Times New Roman"/>
        </w:rPr>
        <w:t>Plaquettes</w:t>
      </w:r>
    </w:p>
    <w:p>
      <w:pPr>
        <w:numPr>
          <w:ilvl w:val="3"/>
          <w:numId w:val="49"/>
        </w:numPr>
      </w:pPr>
      <w:r>
        <w:rPr>
          <w:rFonts w:ascii="Times New Roman" w:hAnsi="Times New Roman"/>
        </w:rPr>
        <w:t xml:space="preserve">Surveiller la transformation aiguë </w:t>
      </w:r>
      <w:r>
        <w:rPr>
          <w:rFonts w:ascii="Times New Roman" w:hAnsi="Times New Roman"/>
        </w:rPr>
        <w:t>éventuelle(</w:t>
      </w:r>
      <w:r>
        <w:rPr>
          <w:rFonts w:ascii="Times New Roman" w:hAnsi="Times New Roman"/>
          <w:i/>
        </w:rPr>
        <w:t xml:space="preserve">vers une hémopathie maligne aiguë) </w:t>
      </w:r>
    </w:p>
    <w:p>
      <w:pPr>
        <w:numPr>
          <w:ilvl w:val="2"/>
          <w:numId w:val="49"/>
        </w:numPr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