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ANEMIES MEGALOCYTAIRES MEGALOBLASTIQUES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éfinition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Anémie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 xml:space="preserve">Dans le </w:t>
      </w:r>
      <w:r>
        <w:rPr>
          <w:rFonts w:ascii="Times New Roman" w:hAnsi="Times New Roman"/>
        </w:rPr>
        <w:t>sang :</w:t>
      </w:r>
      <w:r>
        <w:rPr>
          <w:rFonts w:ascii="Times New Roman" w:hAnsi="Times New Roman"/>
        </w:rPr>
        <w:t xml:space="preserve"> mégalocytes (VGM très </w:t>
      </w:r>
      <w:r>
        <w:rPr>
          <w:rFonts w:ascii="Times New Roman" w:hAnsi="Times New Roman"/>
        </w:rPr>
        <w:t>élevé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110) normal :80-95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 xml:space="preserve">Dans la </w:t>
      </w:r>
      <w:r>
        <w:rPr>
          <w:rFonts w:ascii="Times New Roman" w:hAnsi="Times New Roman"/>
        </w:rPr>
        <w:t>moëlle :</w:t>
      </w:r>
      <w:r>
        <w:rPr>
          <w:rFonts w:ascii="Times New Roman" w:hAnsi="Times New Roman"/>
        </w:rPr>
        <w:t xml:space="preserve"> mégaloblastes</w:t>
      </w:r>
    </w:p>
    <w:p>
      <w:pPr/>
    </w:p>
    <w:p>
      <w:pPr>
        <w:pStyle w:val="Heading3"/>
      </w:pPr>
      <w:r>
        <w:rPr>
          <w:rFonts w:ascii="Times New Roman" w:hAnsi="Times New Roman"/>
        </w:rPr>
        <w:t>Cause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 xml:space="preserve">Déficit en vitamine B12 et/ou Acide </w:t>
      </w:r>
      <w:r>
        <w:rPr>
          <w:rFonts w:ascii="Times New Roman" w:hAnsi="Times New Roman"/>
        </w:rPr>
        <w:t>folique (</w:t>
      </w:r>
      <w:r>
        <w:rPr>
          <w:rFonts w:ascii="Times New Roman" w:hAnsi="Times New Roman"/>
        </w:rPr>
        <w:t xml:space="preserve">vitamine B9) </w:t>
      </w:r>
    </w:p>
    <w:p>
      <w:pPr/>
    </w:p>
    <w:p>
      <w:pPr>
        <w:pStyle w:val="Heading2"/>
      </w:pPr>
      <w:r>
        <w:rPr>
          <w:rFonts w:ascii="Times New Roman" w:hAnsi="Times New Roman"/>
        </w:rPr>
        <w:t>TDD :</w:t>
      </w:r>
      <w:r>
        <w:rPr>
          <w:rFonts w:ascii="Times New Roman" w:hAnsi="Times New Roman"/>
        </w:rPr>
        <w:t xml:space="preserve"> ANEMIE DE BIERMER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AMM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ue</w:t>
      </w:r>
      <w:r>
        <w:rPr>
          <w:rFonts w:ascii="Times New Roman" w:hAnsi="Times New Roman"/>
        </w:rPr>
        <w:t xml:space="preserve"> à une carence en vitamine B12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</w:rPr>
        <w:t xml:space="preserve">Etiologie </w:t>
      </w:r>
      <w:r>
        <w:rPr>
          <w:rFonts w:ascii="Times New Roman" w:hAnsi="Times New Roman"/>
        </w:rPr>
        <w:t>essentielle :</w:t>
      </w:r>
      <w:r>
        <w:rPr>
          <w:rFonts w:ascii="Times New Roman" w:hAnsi="Times New Roman"/>
        </w:rPr>
        <w:t xml:space="preserve"> absence de Facteur Intrinsèque dans le suc gastrique</w:t>
      </w:r>
    </w:p>
    <w:p>
      <w:pPr/>
    </w:p>
    <w:p>
      <w:pPr>
        <w:pStyle w:val="Heading3"/>
      </w:pPr>
      <w:r>
        <w:rPr>
          <w:rFonts w:ascii="Times New Roman" w:hAnsi="Times New Roman"/>
        </w:rPr>
        <w:t>CLINIQUE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  <w:b/>
        </w:rPr>
        <w:t>Début</w:t>
      </w:r>
    </w:p>
    <w:p>
      <w:pPr>
        <w:numPr>
          <w:ilvl w:val="1"/>
          <w:numId w:val="37"/>
        </w:numPr>
      </w:pPr>
      <w:r>
        <w:rPr>
          <w:rFonts w:ascii="Times New Roman" w:hAnsi="Times New Roman"/>
        </w:rPr>
        <w:t>Insidieux/ dyspepsie (embarras gastrique, nausée, brûlure) et syndrome anémique</w:t>
      </w:r>
    </w:p>
    <w:p>
      <w:pPr>
        <w:pStyle w:val="ListParagraph"/>
        <w:numPr>
          <w:ilvl w:val="0"/>
          <w:numId w:val="72"/>
        </w:numPr>
      </w:pPr>
      <w:r>
        <w:rPr>
          <w:rFonts w:ascii="Times New Roman" w:hAnsi="Times New Roman"/>
          <w:b/>
        </w:rPr>
        <w:t>Phase d'état</w:t>
      </w:r>
    </w:p>
    <w:p>
      <w:pPr>
        <w:numPr>
          <w:ilvl w:val="1"/>
          <w:numId w:val="37"/>
        </w:numPr>
      </w:pPr>
      <w:r>
        <w:rPr>
          <w:rFonts w:ascii="Times New Roman" w:hAnsi="Times New Roman"/>
        </w:rPr>
        <w:t>3 syndromes à prédominance variable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  <w:b/>
        </w:rPr>
        <w:t>Syndrome anémique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  <w:b/>
        </w:rPr>
        <w:t>Syndrome digestif            PRECOCE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Syndrome neurologique</w:t>
      </w:r>
    </w:p>
    <w:p>
      <w:pPr/>
    </w:p>
    <w:p>
      <w:pPr>
        <w:pStyle w:val="Heading3"/>
      </w:pPr>
      <w:r>
        <w:rPr>
          <w:rFonts w:ascii="Times New Roman" w:hAnsi="Times New Roman"/>
        </w:rPr>
        <w:t>BIOLOGIE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Anémie normochrome macrocytaire ou mégalocytaire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Neutropénie discrète, thrombopénie discrète (</w:t>
      </w:r>
      <w:r>
        <w:rPr>
          <w:rFonts w:ascii="Times New Roman" w:hAnsi="Times New Roman"/>
          <w:i/>
        </w:rPr>
        <w:t>pancytopénie car</w:t>
      </w:r>
      <w:r>
        <w:rPr>
          <w:rFonts w:ascii="Times New Roman" w:hAnsi="Times New Roman"/>
          <w:i/>
        </w:rPr>
        <w:t xml:space="preserve"> B12 utile dans synthèse </w:t>
      </w:r>
      <w:r>
        <w:rPr>
          <w:rFonts w:ascii="Times New Roman" w:hAnsi="Times New Roman"/>
          <w:i/>
        </w:rPr>
        <w:t>d’ADN :</w:t>
      </w:r>
      <w:r>
        <w:rPr>
          <w:rFonts w:ascii="Times New Roman" w:hAnsi="Times New Roman"/>
          <w:i/>
        </w:rPr>
        <w:t xml:space="preserve"> toutes les cellules en en besoin) 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 xml:space="preserve">Réticulocytose+++, fer sérique </w:t>
      </w:r>
      <w:r>
        <w:rPr>
          <w:rFonts w:ascii="Times New Roman" w:hAnsi="Times New Roman"/>
          <w:color w:val="FF0000"/>
        </w:rPr>
        <w:t>augmenté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 xml:space="preserve">Anémie </w:t>
      </w:r>
      <w:r>
        <w:rPr>
          <w:rFonts w:ascii="Times New Roman" w:hAnsi="Times New Roman"/>
          <w:b/>
        </w:rPr>
        <w:t>arégénérative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  <w:b/>
          <w:i/>
        </w:rPr>
        <w:t xml:space="preserve">ANÉMIE D'ORIGINE CENTRALE) 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 xml:space="preserve">Moelle </w:t>
      </w:r>
      <w:r>
        <w:rPr>
          <w:rFonts w:ascii="Times New Roman" w:hAnsi="Times New Roman"/>
          <w:b/>
        </w:rPr>
        <w:t>mégaloblastique : "MOELLE BLEUE"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 xml:space="preserve">Mort des érythroblastes dans la moëlle libère </w:t>
      </w:r>
      <w:r>
        <w:rPr>
          <w:rFonts w:ascii="Times New Roman" w:hAnsi="Times New Roman"/>
        </w:rPr>
        <w:t>l’hémoglobine :</w:t>
      </w:r>
      <w:r>
        <w:rPr>
          <w:rFonts w:ascii="Times New Roman" w:hAnsi="Times New Roman"/>
        </w:rPr>
        <w:t xml:space="preserve"> haptoglobine </w:t>
      </w:r>
      <w:r>
        <w:rPr>
          <w:rFonts w:ascii="Times New Roman" w:hAnsi="Times New Roman"/>
          <w:color w:val="FF0000"/>
        </w:rPr>
        <w:t>diminuée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color w:val="FF0000"/>
        </w:rPr>
        <w:t>augmentation</w:t>
      </w:r>
      <w:r>
        <w:rPr>
          <w:rFonts w:ascii="Times New Roman" w:hAnsi="Times New Roman"/>
        </w:rPr>
        <w:t xml:space="preserve"> de la bilirubine non conjuguée et de la LDH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AUTRES :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Dosage de la Vit B12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Taux </w:t>
      </w:r>
      <w:r>
        <w:rPr>
          <w:rFonts w:ascii="Times New Roman" w:hAnsi="Times New Roman"/>
        </w:rPr>
        <w:t>diminué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50mg/ml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1microgramme de vit B12 en IM peut entrainer une crise </w:t>
      </w:r>
      <w:r>
        <w:rPr>
          <w:rFonts w:ascii="Times New Roman" w:hAnsi="Times New Roman"/>
        </w:rPr>
        <w:t>réticulocytaire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Déficit en Facteur Intrinsèque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Tubage </w:t>
      </w:r>
      <w:r>
        <w:rPr>
          <w:rFonts w:ascii="Times New Roman" w:hAnsi="Times New Roman"/>
        </w:rPr>
        <w:t>gastrique :</w:t>
      </w:r>
      <w:r>
        <w:rPr>
          <w:rFonts w:ascii="Times New Roman" w:hAnsi="Times New Roman"/>
        </w:rPr>
        <w:t xml:space="preserve"> achylie totale, permanente, </w:t>
      </w:r>
      <w:r>
        <w:rPr>
          <w:rFonts w:ascii="Times New Roman" w:hAnsi="Times New Roman"/>
        </w:rPr>
        <w:t>histamino</w:t>
      </w:r>
      <w:r>
        <w:rPr>
          <w:rFonts w:ascii="Times New Roman" w:hAnsi="Times New Roman"/>
        </w:rPr>
        <w:t>-résistante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Test de </w:t>
      </w:r>
      <w:r>
        <w:rPr>
          <w:rFonts w:ascii="Times New Roman" w:hAnsi="Times New Roman"/>
        </w:rPr>
        <w:t>Schilling :</w:t>
      </w:r>
      <w:r>
        <w:rPr>
          <w:rFonts w:ascii="Times New Roman" w:hAnsi="Times New Roman"/>
        </w:rPr>
        <w:t xml:space="preserve"> élimination Urinaire de la vitamine B12 diminuée++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anti-estomac,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anti-FI</w:t>
      </w:r>
    </w:p>
    <w:p>
      <w:pPr>
        <w:pStyle w:val="Heading3"/>
      </w:pPr>
      <w:r>
        <w:rPr>
          <w:rFonts w:ascii="Times New Roman" w:hAnsi="Times New Roman"/>
        </w:rPr>
        <w:t>TRAITEMENT DE L'ANEMIE DE BIERMER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Traitement d'attaque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Buts :</w:t>
      </w:r>
      <w:r>
        <w:rPr>
          <w:rFonts w:ascii="Times New Roman" w:hAnsi="Times New Roman"/>
        </w:rPr>
        <w:t xml:space="preserve"> réparer l'anémie et reconstituer les réserves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1mg de Cyanocobalamine en IM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1 à 3 fois/semaine jusqu'à 10 ou 12 semaines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Traitement d'entretien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Puis injection par mois ou tous les 3 mois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Traitement de l'achylie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Traitement substitutif par des enzymes digestifs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 xml:space="preserve">Surveiller car possible apparition d'un cancer de </w:t>
      </w:r>
      <w:r>
        <w:rPr>
          <w:rFonts w:ascii="Times New Roman" w:hAnsi="Times New Roman"/>
        </w:rPr>
        <w:t>l’estomac (</w:t>
      </w:r>
      <w:r>
        <w:rPr>
          <w:rFonts w:ascii="Times New Roman" w:hAnsi="Times New Roman"/>
          <w:i/>
        </w:rPr>
        <w:t>atrophie puis dégénérescence</w:t>
      </w:r>
      <w:r>
        <w:rPr>
          <w:rFonts w:ascii="Times New Roman" w:hAnsi="Times New Roman"/>
        </w:rPr>
        <w:t>)</w:t>
      </w:r>
    </w:p>
    <w:p>
      <w:pPr/>
    </w:p>
    <w:p>
      <w:pPr/>
    </w:p>
    <w:p>
      <w:pPr>
        <w:pStyle w:val="Heading2"/>
      </w:pPr>
      <w:r>
        <w:rPr>
          <w:rFonts w:ascii="Times New Roman" w:hAnsi="Times New Roman"/>
        </w:rPr>
        <w:t>ANEMIES PARA-BIERMERIENNES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Malabsorption : gastrique ou intestinale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Déséquilibre entre apport et besoin</w:t>
      </w:r>
    </w:p>
    <w:p>
      <w:pPr>
        <w:numPr>
          <w:ilvl w:val="1"/>
          <w:numId w:val="39"/>
        </w:numPr>
      </w:pPr>
      <w:r>
        <w:rPr>
          <w:rFonts w:ascii="Times New Roman" w:hAnsi="Times New Roman"/>
        </w:rPr>
        <w:t>Végétarien</w:t>
      </w:r>
    </w:p>
    <w:p>
      <w:pPr>
        <w:numPr>
          <w:ilvl w:val="1"/>
          <w:numId w:val="39"/>
        </w:numPr>
      </w:pPr>
      <w:r>
        <w:rPr>
          <w:rFonts w:ascii="Times New Roman" w:hAnsi="Times New Roman"/>
        </w:rPr>
        <w:t>Grossesses rapprochées</w:t>
      </w:r>
    </w:p>
    <w:p>
      <w:pPr>
        <w:numPr>
          <w:ilvl w:val="1"/>
          <w:numId w:val="39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myéloprolifératif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Blocage d'utilisation par des médicaments</w:t>
      </w:r>
    </w:p>
    <w:p>
      <w:pPr>
        <w:numPr>
          <w:ilvl w:val="1"/>
          <w:numId w:val="39"/>
        </w:numPr>
      </w:pPr>
      <w:r>
        <w:rPr>
          <w:rFonts w:ascii="Times New Roman" w:hAnsi="Times New Roman"/>
        </w:rPr>
        <w:t>Antiépileptiques</w:t>
      </w:r>
    </w:p>
    <w:p>
      <w:pPr>
        <w:numPr>
          <w:ilvl w:val="1"/>
          <w:numId w:val="39"/>
        </w:numPr>
      </w:pPr>
      <w:r>
        <w:rPr>
          <w:rFonts w:ascii="Times New Roman" w:hAnsi="Times New Roman"/>
        </w:rPr>
        <w:t>Anti folique</w:t>
      </w:r>
    </w:p>
    <w:p>
      <w:pPr/>
    </w:p>
    <w:p>
      <w:pPr>
        <w:pStyle w:val="Heading3"/>
      </w:pPr>
      <w:r>
        <w:rPr>
          <w:rFonts w:ascii="Times New Roman" w:hAnsi="Times New Roman"/>
        </w:rPr>
        <w:t>TRAITEMENT DES ANÉMIES PARA-BIERMERIENNE</w:t>
      </w:r>
      <w:r>
        <w:rPr>
          <w:rFonts w:ascii="Times New Roman" w:hAnsi="Times New Roman"/>
        </w:rPr>
        <w:t xml:space="preserve"> </w:t>
      </w:r>
    </w:p>
    <w:p>
      <w:pPr>
        <w:pStyle w:val="Heading4"/>
      </w:pPr>
      <w:r>
        <w:rPr/>
        <w:t>Traitement d'attaque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Cyanocobalamine VitB12 500-1000microgramme /2j pendant 3-4mois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Acide folique 10-20mg/j pendant 3-4 mois</w:t>
      </w:r>
    </w:p>
    <w:p>
      <w:pPr>
        <w:pStyle w:val="Heading4"/>
      </w:pPr>
      <w:r>
        <w:rPr/>
        <w:t>Traitement d'entretien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1000 microgrammes de Vit B12 en IM/mois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Vit B12 + enzyme per os/j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 xml:space="preserve">1-2 </w:t>
      </w:r>
      <w:r>
        <w:rPr>
          <w:rFonts w:ascii="Times New Roman" w:hAnsi="Times New Roman"/>
        </w:rPr>
        <w:t>cp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>Foldine</w:t>
      </w:r>
      <w:r>
        <w:rPr>
          <w:rFonts w:ascii="Times New Roman" w:hAnsi="Times New Roman"/>
        </w:rPr>
        <w:t>* /j, entérocolite</w:t>
      </w:r>
    </w:p>
    <w:p>
      <w:pPr>
        <w:pStyle w:val="Heading4"/>
      </w:pPr>
      <w:r>
        <w:rPr/>
        <w:t>Traitement étiologique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Parasites, dyspepsie, entérocolite</w:t>
      </w:r>
    </w:p>
    <w:p>
      <w:pPr>
        <w:spacing w:after="200"/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