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AUTRES PURPURAS VASCULAIRES</w:t>
      </w:r>
    </w:p>
    <w:p>
      <w:pPr>
        <w:pStyle w:val="Heading2"/>
      </w:pPr>
      <w:r>
        <w:rPr/>
        <w:t>Purpura inflammatoire allergique ou anaphylactique</w:t>
      </w:r>
      <w:r>
        <w:rPr/>
        <w:t xml:space="preserve"> 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Clinique ressemblant au purpura rhumatoïde typique mais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Autres éléments anaphylactiques</w:t>
      </w:r>
    </w:p>
    <w:p>
      <w:pPr>
        <w:numPr>
          <w:ilvl w:val="2"/>
          <w:numId w:val="62"/>
        </w:numPr>
      </w:pPr>
      <w:r>
        <w:rPr>
          <w:rFonts w:ascii="Times New Roman" w:hAnsi="Times New Roman"/>
        </w:rPr>
        <w:t>Eosinophilie sanguine</w:t>
      </w:r>
    </w:p>
    <w:p>
      <w:pPr>
        <w:numPr>
          <w:ilvl w:val="2"/>
          <w:numId w:val="62"/>
        </w:numPr>
      </w:pPr>
      <w:r>
        <w:rPr>
          <w:rFonts w:ascii="Times New Roman" w:hAnsi="Times New Roman"/>
        </w:rPr>
        <w:t>Tests d'allergie cutanée positifs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Evolution favorable mais chronique et récidivante</w:t>
      </w:r>
    </w:p>
    <w:p>
      <w:pPr>
        <w:pStyle w:val="Heading2"/>
      </w:pPr>
      <w:r>
        <w:rPr/>
        <w:t>Purpura ecchymotique chronique (maladie de Chevalier)</w:t>
      </w:r>
      <w:r>
        <w:rPr/>
        <w:t xml:space="preserve"> 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Purpura vasculaire isolé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Sans autre manifestation clinique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Signes biologiques absents sauf discret syndrome inflammatoire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Pronostic favorable malgré l'évolution vers la chronicité</w:t>
      </w:r>
    </w:p>
    <w:p>
      <w:pPr>
        <w:pStyle w:val="Heading2"/>
      </w:pPr>
      <w:r>
        <w:rPr/>
        <w:t>Purpura vasculaire des sujets âgés (purpura de Batman)</w:t>
      </w:r>
      <w:r>
        <w:rPr/>
        <w:t xml:space="preserve"> 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Tâches purpuriques isolées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Visage ou corps des sujets âgés</w:t>
      </w:r>
    </w:p>
    <w:p>
      <w:pPr>
        <w:numPr>
          <w:ilvl w:val="1"/>
          <w:numId w:val="62"/>
        </w:numPr>
      </w:pPr>
      <w:r>
        <w:rPr>
          <w:rFonts w:ascii="Times New Roman" w:hAnsi="Times New Roman"/>
          <w:b/>
        </w:rPr>
        <w:t>Traduction d'une fragilisation des vaisseaux avec l'âge</w:t>
      </w:r>
    </w:p>
    <w:p>
      <w:pPr>
        <w:pStyle w:val="Heading2"/>
      </w:pPr>
      <w:r>
        <w:rPr/>
        <w:t xml:space="preserve">Purpura d'origine infectieuse </w:t>
      </w:r>
      <w:r>
        <w:rPr>
          <w:i/>
        </w:rPr>
        <w:t>LA PLUS REDOUTABLE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 xml:space="preserve">Dans toutes les maladies infectieuses (rougeole, varicelle, typhoïde) 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2 formes possibles</w:t>
      </w:r>
    </w:p>
    <w:p>
      <w:pPr>
        <w:numPr>
          <w:ilvl w:val="2"/>
          <w:numId w:val="62"/>
        </w:numPr>
      </w:pPr>
      <w:r>
        <w:rPr>
          <w:rFonts w:ascii="Times New Roman" w:hAnsi="Times New Roman"/>
        </w:rPr>
        <w:t>Forme bénigne</w:t>
      </w:r>
    </w:p>
    <w:p>
      <w:pPr>
        <w:numPr>
          <w:ilvl w:val="2"/>
          <w:numId w:val="62"/>
        </w:numPr>
      </w:pPr>
      <w:r>
        <w:rPr>
          <w:rFonts w:ascii="Times New Roman" w:hAnsi="Times New Roman"/>
        </w:rPr>
        <w:t>Taches purpuriques isolées</w:t>
      </w:r>
    </w:p>
    <w:p>
      <w:pPr>
        <w:numPr>
          <w:ilvl w:val="3"/>
          <w:numId w:val="62"/>
        </w:numPr>
      </w:pPr>
      <w:r>
        <w:rPr>
          <w:rFonts w:ascii="Times New Roman" w:hAnsi="Times New Roman"/>
        </w:rPr>
        <w:t>Au cours des maladies infectieuses déterminées</w:t>
      </w:r>
    </w:p>
    <w:p>
      <w:pPr>
        <w:numPr>
          <w:ilvl w:val="3"/>
          <w:numId w:val="62"/>
        </w:numPr>
      </w:pPr>
      <w:r>
        <w:rPr>
          <w:rFonts w:ascii="Times New Roman" w:hAnsi="Times New Roman"/>
        </w:rPr>
        <w:t>Témoins d'une atteinte localisée par la toxine infectieuse au niveau des vaisseaux</w:t>
      </w:r>
    </w:p>
    <w:p>
      <w:pPr>
        <w:numPr>
          <w:ilvl w:val="2"/>
          <w:numId w:val="62"/>
        </w:numPr>
      </w:pPr>
      <w:r>
        <w:rPr>
          <w:rFonts w:ascii="Times New Roman" w:hAnsi="Times New Roman"/>
        </w:rPr>
        <w:t xml:space="preserve">Forme </w:t>
      </w:r>
      <w:r>
        <w:rPr>
          <w:rFonts w:ascii="Times New Roman" w:hAnsi="Times New Roman"/>
        </w:rPr>
        <w:t>grave :</w:t>
      </w:r>
      <w:r>
        <w:rPr>
          <w:rFonts w:ascii="Times New Roman" w:hAnsi="Times New Roman"/>
        </w:rPr>
        <w:t xml:space="preserve"> purpura </w:t>
      </w:r>
      <w:r>
        <w:rPr>
          <w:rFonts w:ascii="Times New Roman" w:hAnsi="Times New Roman"/>
        </w:rPr>
        <w:t>fulminans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Henoch</w:t>
      </w:r>
    </w:p>
    <w:p>
      <w:pPr>
        <w:numPr>
          <w:ilvl w:val="3"/>
          <w:numId w:val="62"/>
        </w:numPr>
      </w:pPr>
      <w:r>
        <w:rPr>
          <w:rFonts w:ascii="Times New Roman" w:hAnsi="Times New Roman"/>
        </w:rPr>
        <w:t>Fait partie du syndrome malin des maladies infectieuses</w:t>
      </w:r>
    </w:p>
    <w:p>
      <w:pPr>
        <w:numPr>
          <w:ilvl w:val="3"/>
          <w:numId w:val="62"/>
        </w:numPr>
      </w:pPr>
      <w:r>
        <w:rPr>
          <w:rFonts w:ascii="Times New Roman" w:hAnsi="Times New Roman"/>
        </w:rPr>
        <w:t>Due à une nécrose aiguë de la surrénale</w:t>
      </w:r>
    </w:p>
    <w:p>
      <w:pPr>
        <w:numPr>
          <w:ilvl w:val="3"/>
          <w:numId w:val="62"/>
        </w:numPr>
      </w:pPr>
      <w:r>
        <w:rPr>
          <w:rFonts w:ascii="Times New Roman" w:hAnsi="Times New Roman"/>
        </w:rPr>
        <w:t>Syndrome d'urgence</w:t>
      </w:r>
    </w:p>
    <w:p>
      <w:pPr>
        <w:numPr>
          <w:ilvl w:val="4"/>
          <w:numId w:val="62"/>
        </w:numPr>
      </w:pPr>
      <w:r>
        <w:rPr>
          <w:rFonts w:ascii="Times New Roman" w:hAnsi="Times New Roman"/>
        </w:rPr>
        <w:t xml:space="preserve">Signes généraux </w:t>
      </w:r>
      <w:r>
        <w:rPr>
          <w:rFonts w:ascii="Times New Roman" w:hAnsi="Times New Roman"/>
        </w:rPr>
        <w:t>graves :</w:t>
      </w:r>
      <w:r>
        <w:rPr>
          <w:rFonts w:ascii="Times New Roman" w:hAnsi="Times New Roman"/>
        </w:rPr>
        <w:t xml:space="preserve"> température élevée, asthénie, adynamie</w:t>
      </w:r>
    </w:p>
    <w:p>
      <w:pPr>
        <w:numPr>
          <w:ilvl w:val="4"/>
          <w:numId w:val="62"/>
        </w:numPr>
      </w:pPr>
      <w:r>
        <w:rPr>
          <w:rFonts w:ascii="Times New Roman" w:hAnsi="Times New Roman"/>
        </w:rPr>
        <w:t>Collapsus cardio-vasculaire, Cyanose, dyspnée</w:t>
      </w:r>
    </w:p>
    <w:p>
      <w:pPr>
        <w:numPr>
          <w:ilvl w:val="4"/>
          <w:numId w:val="62"/>
        </w:numPr>
      </w:pPr>
      <w:r>
        <w:rPr>
          <w:rFonts w:ascii="Times New Roman" w:hAnsi="Times New Roman"/>
        </w:rPr>
        <w:t xml:space="preserve">Troubles </w:t>
      </w:r>
      <w:r>
        <w:rPr>
          <w:rFonts w:ascii="Times New Roman" w:hAnsi="Times New Roman"/>
        </w:rPr>
        <w:t>neurologiques :</w:t>
      </w:r>
      <w:r>
        <w:rPr>
          <w:rFonts w:ascii="Times New Roman" w:hAnsi="Times New Roman"/>
        </w:rPr>
        <w:t xml:space="preserve"> délire, convulsion, coma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