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CYTOPÉNIES AUTO-IMMUNES</w:t>
      </w:r>
    </w:p>
    <w:p>
      <w:pPr/>
      <w:r>
        <w:rPr>
          <w:rFonts w:ascii="Times New Roman" w:hAnsi="Times New Roman"/>
        </w:rPr>
        <w:t>Développement d'auto-anticorps dirigés contre les cellules sanguines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  <w:b/>
        </w:rPr>
        <w:t>Anémies hémolytiques à auto-anticorps ou anémies auto-immunes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  <w:b/>
        </w:rPr>
        <w:t>Neutropénies à auto-anticorps ou Auto-immunes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  <w:b/>
        </w:rPr>
        <w:t>Thrombopénies auto-immunes</w:t>
      </w:r>
    </w:p>
    <w:p>
      <w:pPr/>
      <w:r>
        <w:rPr>
          <w:rFonts w:ascii="Times New Roman" w:hAnsi="Times New Roman"/>
          <w:b/>
        </w:rPr>
        <w:t>-&gt; Cytopénies à moëlle riche régénérative sans dysplasie</w:t>
      </w:r>
    </w:p>
    <w:p>
      <w:pPr/>
      <w:r>
        <w:rPr>
          <w:rFonts w:ascii="Times New Roman" w:hAnsi="Times New Roman"/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