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Déficit en II, V, VII, ou X</w:t>
      </w:r>
    </w:p>
    <w:p>
      <w:pPr>
        <w:numPr>
          <w:ilvl w:val="0"/>
          <w:numId w:val="80"/>
        </w:numPr>
      </w:pPr>
      <w:r>
        <w:rPr>
          <w:rFonts w:ascii="Times New Roman" w:hAnsi="Times New Roman"/>
        </w:rPr>
        <w:t>Isolé ou multiple</w:t>
      </w:r>
    </w:p>
    <w:p>
      <w:pPr>
        <w:numPr>
          <w:ilvl w:val="0"/>
          <w:numId w:val="80"/>
        </w:numPr>
      </w:pPr>
      <w:r>
        <w:rPr>
          <w:rFonts w:ascii="Times New Roman" w:hAnsi="Times New Roman"/>
        </w:rPr>
        <w:t xml:space="preserve">Congénital ou acquis (maladie hépatique, AVK) </w:t>
      </w:r>
    </w:p>
    <w:p>
      <w:pPr>
        <w:numPr>
          <w:ilvl w:val="0"/>
          <w:numId w:val="80"/>
        </w:numPr>
      </w:pPr>
      <w:r>
        <w:rPr>
          <w:rFonts w:ascii="Times New Roman" w:hAnsi="Times New Roman"/>
        </w:rPr>
        <w:t>Responsable de Syndrome hémorragique</w:t>
      </w:r>
    </w:p>
    <w:p>
      <w:pPr>
        <w:numPr>
          <w:ilvl w:val="0"/>
          <w:numId w:val="80"/>
        </w:numPr>
      </w:pPr>
      <w:r>
        <w:rPr>
          <w:rFonts w:ascii="Times New Roman" w:hAnsi="Times New Roman"/>
        </w:rPr>
        <w:t>Biologie</w:t>
      </w:r>
    </w:p>
    <w:p>
      <w:pPr>
        <w:numPr>
          <w:ilvl w:val="1"/>
          <w:numId w:val="80"/>
        </w:numPr>
      </w:pPr>
      <w:r>
        <w:rPr>
          <w:rFonts w:ascii="Times New Roman" w:hAnsi="Times New Roman"/>
        </w:rPr>
        <w:t>TQ allongé</w:t>
      </w:r>
    </w:p>
    <w:p>
      <w:pPr>
        <w:numPr>
          <w:ilvl w:val="1"/>
          <w:numId w:val="80"/>
        </w:numPr>
      </w:pPr>
      <w:r>
        <w:rPr>
          <w:rFonts w:ascii="Times New Roman" w:hAnsi="Times New Roman"/>
        </w:rPr>
        <w:t>TCA normal (</w:t>
      </w:r>
      <w:r>
        <w:rPr>
          <w:rFonts w:ascii="Times New Roman" w:hAnsi="Times New Roman"/>
          <w:i/>
        </w:rPr>
        <w:t xml:space="preserve">car intéresse la voie extrinsèque) </w:t>
      </w:r>
    </w:p>
    <w:p>
      <w:pPr>
        <w:numPr>
          <w:ilvl w:val="1"/>
          <w:numId w:val="80"/>
        </w:numPr>
      </w:pPr>
      <w:r>
        <w:rPr>
          <w:rFonts w:ascii="Times New Roman" w:hAnsi="Times New Roman"/>
        </w:rPr>
        <w:t>Le taux des facteurs sont diminués</w:t>
      </w:r>
    </w:p>
    <w:p>
      <w:pPr>
        <w:numPr>
          <w:ilvl w:val="1"/>
          <w:numId w:val="80"/>
        </w:numPr>
      </w:pPr>
      <w:r>
        <w:rPr>
          <w:rFonts w:ascii="Times New Roman" w:hAnsi="Times New Roman"/>
        </w:rPr>
        <w:t>Traitement :</w:t>
      </w:r>
      <w:r>
        <w:rPr>
          <w:rFonts w:ascii="Times New Roman" w:hAnsi="Times New Roman"/>
        </w:rPr>
        <w:t xml:space="preserve"> PPSB, Plasma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