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Déficits acquis en facteur du complexe prothrombinique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 xml:space="preserve">Dû au </w:t>
      </w:r>
      <w:r>
        <w:rPr>
          <w:rFonts w:ascii="Times New Roman" w:hAnsi="Times New Roman"/>
        </w:rPr>
        <w:t>dysmétabolisme</w:t>
      </w:r>
      <w:r>
        <w:rPr>
          <w:rFonts w:ascii="Times New Roman" w:hAnsi="Times New Roman"/>
        </w:rPr>
        <w:t xml:space="preserve"> de la vit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</w:p>
    <w:p>
      <w:pPr>
        <w:numPr>
          <w:ilvl w:val="0"/>
          <w:numId w:val="82"/>
        </w:numPr>
      </w:pPr>
      <w:r>
        <w:rPr>
          <w:rFonts w:ascii="Times New Roman" w:hAnsi="Times New Roman"/>
        </w:rPr>
        <w:t>Causes :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 xml:space="preserve">Déficit en vit </w:t>
      </w:r>
      <w:r>
        <w:rPr>
          <w:rFonts w:ascii="Times New Roman" w:hAnsi="Times New Roman"/>
        </w:rPr>
        <w:t>K :</w:t>
      </w:r>
      <w:r>
        <w:rPr>
          <w:rFonts w:ascii="Times New Roman" w:hAnsi="Times New Roman"/>
        </w:rPr>
        <w:t xml:space="preserve"> carence, trouble de l'absorption, malabsorption, dyspepsie, rétention</w:t>
      </w:r>
    </w:p>
    <w:p>
      <w:pPr>
        <w:numPr>
          <w:ilvl w:val="2"/>
          <w:numId w:val="82"/>
        </w:numPr>
      </w:pPr>
      <w:r>
        <w:rPr>
          <w:rFonts w:ascii="Times New Roman" w:hAnsi="Times New Roman"/>
        </w:rPr>
        <w:t>Injection de Vit K corrige le taux de prothrombine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>Dysmétabolisme</w:t>
      </w:r>
      <w:r>
        <w:rPr>
          <w:rFonts w:ascii="Times New Roman" w:hAnsi="Times New Roman"/>
        </w:rPr>
        <w:t xml:space="preserve"> dû au traitement par </w:t>
      </w:r>
      <w:r>
        <w:rPr>
          <w:rFonts w:ascii="Times New Roman" w:hAnsi="Times New Roman"/>
        </w:rPr>
        <w:t>AVK :</w:t>
      </w:r>
      <w:r>
        <w:rPr>
          <w:rFonts w:ascii="Times New Roman" w:hAnsi="Times New Roman"/>
        </w:rPr>
        <w:t xml:space="preserve"> V </w:t>
      </w:r>
      <w:r>
        <w:rPr>
          <w:rFonts w:ascii="Times New Roman" w:hAnsi="Times New Roman"/>
        </w:rPr>
        <w:t>respecté (</w:t>
      </w:r>
      <w:r>
        <w:rPr>
          <w:rFonts w:ascii="Times New Roman" w:hAnsi="Times New Roman"/>
          <w:i/>
        </w:rPr>
        <w:t xml:space="preserve">car n'est pas Vit K-dépendant) </w:t>
      </w:r>
    </w:p>
    <w:p>
      <w:pPr>
        <w:numPr>
          <w:ilvl w:val="1"/>
          <w:numId w:val="82"/>
        </w:numPr>
      </w:pPr>
      <w:r>
        <w:rPr>
          <w:rFonts w:ascii="Times New Roman" w:hAnsi="Times New Roman"/>
        </w:rPr>
        <w:t xml:space="preserve">Insuffisance hépato-cellulaire (V inclus) </w:t>
      </w:r>
    </w:p>
    <w:p>
      <w:pPr>
        <w:numPr>
          <w:ilvl w:val="2"/>
          <w:numId w:val="82"/>
        </w:numPr>
      </w:pPr>
      <w:r>
        <w:rPr>
          <w:rFonts w:ascii="Times New Roman" w:hAnsi="Times New Roman"/>
        </w:rPr>
        <w:t>Injection Vit K ne corrige pas le taux de prothrombine</w:t>
      </w:r>
    </w:p>
    <w:p>
      <w:pPr>
        <w:numPr>
          <w:ilvl w:val="2"/>
          <w:numId w:val="82"/>
        </w:numPr>
      </w:pPr>
      <w:r>
        <w:rPr>
          <w:rFonts w:ascii="Times New Roman" w:hAnsi="Times New Roman"/>
        </w:rPr>
        <w:t>Injection de PPSB ou plasma</w:t>
      </w:r>
    </w:p>
    <w:p>
      <w:pPr>
        <w:numPr>
          <w:ilvl w:val="2"/>
          <w:numId w:val="82"/>
        </w:numPr>
      </w:pPr>
      <w:r>
        <w:rPr>
          <w:rFonts w:ascii="Times New Roman" w:hAnsi="Times New Roman"/>
          <w:i/>
        </w:rPr>
        <w:t xml:space="preserve">Dosage de V pour diagnostiquer une insuffisance </w:t>
      </w:r>
      <w:r>
        <w:rPr>
          <w:rFonts w:ascii="Times New Roman" w:hAnsi="Times New Roman"/>
          <w:i/>
        </w:rPr>
        <w:t>hépatocéllulaire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