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DEFICIT EN G6PD</w:t>
      </w:r>
    </w:p>
    <w:p>
      <w:pPr>
        <w:pStyle w:val="Heading2"/>
      </w:pPr>
      <w:r>
        <w:rPr>
          <w:rFonts w:ascii="Times New Roman" w:hAnsi="Times New Roman"/>
        </w:rPr>
        <w:t>GENERALITES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>Hémolyse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>Déficit Enzymatique de la glycolyse érythrocytaire (G6PD utile dans la 2è moitié de la vie des hématies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Récessive liée au sexe (homme) 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Fréquent à </w:t>
      </w:r>
      <w:r>
        <w:rPr>
          <w:rFonts w:ascii="Times New Roman" w:hAnsi="Times New Roman"/>
        </w:rPr>
        <w:t>Madagascar :</w:t>
      </w:r>
      <w:r>
        <w:rPr>
          <w:rFonts w:ascii="Times New Roman" w:hAnsi="Times New Roman"/>
        </w:rPr>
        <w:t xml:space="preserve"> 8-10% de la population générale</w:t>
      </w:r>
    </w:p>
    <w:p>
      <w:pPr>
        <w:pStyle w:val="Heading2"/>
      </w:pPr>
      <w:r>
        <w:rPr>
          <w:rFonts w:ascii="Times New Roman" w:hAnsi="Times New Roman"/>
        </w:rPr>
        <w:t>CLINIQUE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Manifestations paroxystiques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En bonne santé en dehors des crises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Sujets sensibles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Sujets non sensibles</w:t>
      </w:r>
    </w:p>
    <w:p>
      <w:pPr>
        <w:pStyle w:val="Heading3"/>
        <w:numPr>
          <w:ilvl w:val="0"/>
          <w:numId w:val="74"/>
        </w:numPr>
      </w:pPr>
      <w:r>
        <w:rPr>
          <w:rFonts w:ascii="Times New Roman" w:hAnsi="Times New Roman"/>
        </w:rPr>
        <w:t>Sujets sensibles</w:t>
      </w:r>
    </w:p>
    <w:p>
      <w:pPr>
        <w:numPr>
          <w:ilvl w:val="1"/>
          <w:numId w:val="28"/>
        </w:numPr>
      </w:pPr>
      <w:r>
        <w:rPr>
          <w:rFonts w:ascii="Times New Roman" w:hAnsi="Times New Roman"/>
        </w:rPr>
        <w:t>Crises hémolytiques graves après prise de certains médicaments (</w:t>
      </w:r>
      <w:r>
        <w:rPr>
          <w:rFonts w:ascii="Times New Roman" w:hAnsi="Times New Roman"/>
          <w:i/>
        </w:rPr>
        <w:t>oxydants</w:t>
      </w:r>
    </w:p>
    <w:p>
      <w:pPr>
        <w:numPr>
          <w:ilvl w:val="1"/>
          <w:numId w:val="28"/>
        </w:numPr>
      </w:pPr>
      <w:r>
        <w:rPr>
          <w:rFonts w:ascii="Times New Roman" w:hAnsi="Times New Roman"/>
        </w:rPr>
        <w:t xml:space="preserve">Début </w:t>
      </w:r>
      <w:r>
        <w:rPr>
          <w:rFonts w:ascii="Times New Roman" w:hAnsi="Times New Roman"/>
        </w:rPr>
        <w:t>brutal :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>36-72 heures après prise médicamenteuse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Anémie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Fièvre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Céphalée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Tachycardie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Ictère intense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>Phase de réparation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Au bout de 3-4 semaines même sans arrêt du médicament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Régression de l'anémie et de l'ictère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 xml:space="preserve">Phase </w:t>
      </w:r>
      <w:r>
        <w:rPr>
          <w:rFonts w:ascii="Times New Roman" w:hAnsi="Times New Roman"/>
        </w:rPr>
        <w:t>réfractaire :</w:t>
      </w:r>
      <w:r>
        <w:rPr>
          <w:rFonts w:ascii="Times New Roman" w:hAnsi="Times New Roman"/>
        </w:rPr>
        <w:t xml:space="preserve"> après 1-2 mois (</w:t>
      </w:r>
      <w:r>
        <w:rPr>
          <w:rFonts w:ascii="Times New Roman" w:hAnsi="Times New Roman"/>
          <w:i/>
        </w:rPr>
        <w:t xml:space="preserve">pas de crise même si prise du même médicament) </w:t>
      </w:r>
    </w:p>
    <w:p>
      <w:pPr>
        <w:pStyle w:val="Heading3"/>
        <w:numPr>
          <w:ilvl w:val="0"/>
          <w:numId w:val="74"/>
        </w:numPr>
      </w:pPr>
      <w:r>
        <w:rPr>
          <w:rFonts w:ascii="Times New Roman" w:hAnsi="Times New Roman"/>
        </w:rPr>
        <w:t>Sujets non sensibles</w:t>
      </w:r>
    </w:p>
    <w:p>
      <w:pPr>
        <w:pStyle w:val="Heading4"/>
      </w:pPr>
      <w:r>
        <w:rPr/>
        <w:t>FAVISME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>Anémie hémolytique après ingestion de fèves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Forme minime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Ictère + urticaire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Anémie discrète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Céphalées, nausées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>Forme gravissime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Hémolyse grave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Suivi d'une période réfractaire</w:t>
      </w:r>
    </w:p>
    <w:p>
      <w:pPr>
        <w:pStyle w:val="Heading4"/>
      </w:pPr>
      <w:r>
        <w:rPr/>
        <w:t>ICTERE NEO-NATAL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>Ictère néo-natal précoce, grave (</w:t>
      </w:r>
      <w:r>
        <w:rPr>
          <w:rFonts w:ascii="Times New Roman" w:hAnsi="Times New Roman"/>
          <w:i/>
        </w:rPr>
        <w:t xml:space="preserve">dans les 24 premières heures post partum) 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 xml:space="preserve">Bilirubine libre </w:t>
      </w:r>
      <w:r>
        <w:rPr>
          <w:rFonts w:ascii="Times New Roman" w:hAnsi="Times New Roman"/>
          <w:color w:val="FF0000"/>
        </w:rPr>
        <w:t>élevée</w:t>
      </w:r>
    </w:p>
    <w:p>
      <w:pPr>
        <w:numPr>
          <w:ilvl w:val="3"/>
          <w:numId w:val="28"/>
        </w:numPr>
      </w:pPr>
      <w:r>
        <w:rPr>
          <w:rFonts w:ascii="Times New Roman" w:hAnsi="Times New Roman"/>
        </w:rPr>
        <w:t xml:space="preserve">Identique à l'ictère de l'incompatibilité </w:t>
      </w:r>
      <w:r>
        <w:rPr>
          <w:rFonts w:ascii="Times New Roman" w:hAnsi="Times New Roman"/>
        </w:rPr>
        <w:t>fœto-maternel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Accident unique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>Début d'une hémolyse chronique</w:t>
      </w:r>
    </w:p>
    <w:p>
      <w:pPr>
        <w:numPr>
          <w:ilvl w:val="4"/>
          <w:numId w:val="28"/>
        </w:numPr>
      </w:pPr>
      <w:r>
        <w:rPr>
          <w:rFonts w:ascii="Times New Roman" w:hAnsi="Times New Roman"/>
        </w:rPr>
        <w:t xml:space="preserve">Inaugurant une sensibilité médicamenteuse </w:t>
      </w:r>
      <w:r>
        <w:rPr>
          <w:rFonts w:ascii="Times New Roman" w:hAnsi="Times New Roman"/>
        </w:rPr>
        <w:t>ultérieure (</w:t>
      </w:r>
      <w:r>
        <w:rPr>
          <w:rFonts w:ascii="Times New Roman" w:hAnsi="Times New Roman"/>
          <w:i/>
        </w:rPr>
        <w:t xml:space="preserve">médicament oxydant) </w:t>
      </w:r>
    </w:p>
    <w:p>
      <w:pPr>
        <w:pStyle w:val="Heading4"/>
      </w:pPr>
      <w:r>
        <w:rPr/>
        <w:t>ANEMIE HEMOLYTIQUE CHRONIQUE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>La plus rare</w:t>
      </w:r>
    </w:p>
    <w:p>
      <w:pPr>
        <w:numPr>
          <w:ilvl w:val="2"/>
          <w:numId w:val="28"/>
        </w:numPr>
      </w:pPr>
      <w:r>
        <w:rPr>
          <w:rFonts w:ascii="Times New Roman" w:hAnsi="Times New Roman"/>
        </w:rPr>
        <w:t xml:space="preserve">Caractérisé par un </w:t>
      </w:r>
      <w:r>
        <w:rPr>
          <w:rFonts w:ascii="Times New Roman" w:hAnsi="Times New Roman"/>
          <w:b/>
        </w:rPr>
        <w:t xml:space="preserve">état hémolytique continu </w:t>
      </w:r>
    </w:p>
    <w:p>
      <w:pPr/>
    </w:p>
    <w:p>
      <w:pPr>
        <w:pStyle w:val="Heading2"/>
      </w:pPr>
      <w:r>
        <w:rPr>
          <w:rFonts w:ascii="Times New Roman" w:hAnsi="Times New Roman"/>
        </w:rPr>
        <w:t>EXAMENS BIOLOGIQUES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TESTS D'HEMOLYSE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Positifs au cours des crises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Bilirubine libre </w:t>
      </w:r>
      <w:r>
        <w:rPr>
          <w:rFonts w:ascii="Times New Roman" w:hAnsi="Times New Roman"/>
          <w:color w:val="FF0000"/>
        </w:rPr>
        <w:t>élevée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Anémie </w:t>
      </w:r>
      <w:r>
        <w:rPr>
          <w:rFonts w:ascii="Times New Roman" w:hAnsi="Times New Roman"/>
          <w:color w:val="FF0000"/>
        </w:rPr>
        <w:t>regénérative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Fer sérique </w:t>
      </w:r>
      <w:r>
        <w:rPr>
          <w:rFonts w:ascii="Times New Roman" w:hAnsi="Times New Roman"/>
          <w:color w:val="FF0000"/>
        </w:rPr>
        <w:t>élevé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Haptoglobine </w:t>
      </w:r>
      <w:r>
        <w:rPr>
          <w:rFonts w:ascii="Times New Roman" w:hAnsi="Times New Roman"/>
          <w:color w:val="FF0000"/>
        </w:rPr>
        <w:t>diminuée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  <w:color w:val="FF0000"/>
        </w:rPr>
        <w:t>Diminution</w:t>
      </w:r>
      <w:r>
        <w:rPr>
          <w:rFonts w:ascii="Times New Roman" w:hAnsi="Times New Roman"/>
        </w:rPr>
        <w:t xml:space="preserve"> de la durée de vie des hématies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Tests pour la détermination de l'ORIGINE ENZYMATIQUE DE L'HEMOLYSE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Tests indirects</w:t>
      </w:r>
    </w:p>
    <w:p>
      <w:pPr>
        <w:numPr>
          <w:ilvl w:val="2"/>
          <w:numId w:val="29"/>
        </w:numPr>
      </w:pPr>
      <w:r>
        <w:rPr>
          <w:rFonts w:ascii="Times New Roman" w:hAnsi="Times New Roman"/>
          <w:b/>
        </w:rPr>
        <w:t>Corps de Heinz</w:t>
      </w:r>
    </w:p>
    <w:p>
      <w:pPr>
        <w:numPr>
          <w:ilvl w:val="3"/>
          <w:numId w:val="29"/>
        </w:numPr>
      </w:pPr>
      <w:r>
        <w:rPr>
          <w:rFonts w:ascii="Times New Roman" w:hAnsi="Times New Roman"/>
        </w:rPr>
        <w:t>Par incubation des hématies avec un oxydant, apparition de corps bleus dans le cytoplasme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Stabilité au glutathion réduit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Méthémoglobinémie résiduelle</w:t>
      </w:r>
    </w:p>
    <w:p>
      <w:pPr>
        <w:numPr>
          <w:ilvl w:val="3"/>
          <w:numId w:val="29"/>
        </w:numPr>
      </w:pPr>
      <w:r>
        <w:rPr>
          <w:rFonts w:ascii="Times New Roman" w:hAnsi="Times New Roman"/>
        </w:rPr>
        <w:t>Élevée après oxydation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Tests directs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Dosage de l'activité enzymatique de la G6PD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Test </w:t>
      </w:r>
      <w:r>
        <w:rPr>
          <w:rFonts w:ascii="Times New Roman" w:hAnsi="Times New Roman"/>
        </w:rPr>
        <w:t>immunochromatographique</w:t>
      </w:r>
      <w:r>
        <w:rPr>
          <w:rFonts w:ascii="Times New Roman" w:hAnsi="Times New Roman"/>
        </w:rPr>
        <w:t xml:space="preserve">, test rapide(bandelettes) 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30"/>
        </w:numPr>
      </w:pPr>
      <w:r>
        <w:rPr>
          <w:rFonts w:ascii="Times New Roman" w:hAnsi="Times New Roman"/>
          <w:b/>
        </w:rPr>
        <w:t>PROPHYLACTIQUE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>Interdire les agressions alimentaires ou médicamenteuses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Sulfamides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Antalgiques :</w:t>
      </w:r>
      <w:r>
        <w:rPr>
          <w:rFonts w:ascii="Times New Roman" w:hAnsi="Times New Roman"/>
        </w:rPr>
        <w:t xml:space="preserve"> aspirine, phénacétine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Antipaludéens de synthèse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Bactériostatiques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nitrofurantoïne</w:t>
      </w:r>
      <w:r>
        <w:rPr>
          <w:rFonts w:ascii="Times New Roman" w:hAnsi="Times New Roman"/>
        </w:rPr>
        <w:t>, chloramphénicol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 xml:space="preserve">Toute une liste de médicaments </w:t>
      </w:r>
      <w:r>
        <w:rPr>
          <w:rFonts w:ascii="Times New Roman" w:hAnsi="Times New Roman"/>
        </w:rPr>
        <w:t>actuellement :</w:t>
      </w:r>
      <w:r>
        <w:rPr>
          <w:rFonts w:ascii="Times New Roman" w:hAnsi="Times New Roman"/>
        </w:rPr>
        <w:t xml:space="preserve"> vit K, bleu de méthylène, vit </w:t>
      </w:r>
      <w:r>
        <w:rPr>
          <w:rFonts w:ascii="Times New Roman" w:hAnsi="Times New Roman"/>
        </w:rPr>
        <w:t>C,...</w:t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Les substances pas nécessairement dangereuses chez tous les sujets déficients en G6PD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A éviter en raison du polymorphisme de l'affection, puisque la tolérance est imprévisible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Cette liste n'est pas exhaustive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  <w:b/>
        </w:rPr>
        <w:t>CURATIF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>Si hémolyse aiguë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 xml:space="preserve">Arrêt du médicament, prise d'acide </w:t>
      </w:r>
      <w:r>
        <w:rPr>
          <w:rFonts w:ascii="Times New Roman" w:hAnsi="Times New Roman"/>
        </w:rPr>
        <w:t>folique (</w:t>
      </w:r>
      <w:r>
        <w:rPr>
          <w:rFonts w:ascii="Times New Roman" w:hAnsi="Times New Roman"/>
        </w:rPr>
        <w:t xml:space="preserve">vit B) (per os) 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Transfusion sanguine</w:t>
      </w:r>
    </w:p>
    <w:p>
      <w:pPr>
        <w:numPr>
          <w:ilvl w:val="2"/>
          <w:numId w:val="30"/>
        </w:numPr>
      </w:pPr>
      <w:r>
        <w:rPr>
          <w:rFonts w:ascii="Times New Roman" w:hAnsi="Times New Roman"/>
        </w:rPr>
        <w:t>Epurations extrarénales si uricémie élevée</w:t>
      </w:r>
    </w:p>
    <w:p>
      <w:pPr>
        <w:numPr>
          <w:ilvl w:val="1"/>
          <w:numId w:val="30"/>
        </w:numPr>
      </w:pPr>
      <w:r>
        <w:rPr>
          <w:rFonts w:ascii="Times New Roman" w:hAnsi="Times New Roman"/>
        </w:rPr>
        <w:t xml:space="preserve">Splénectomie (Discutée)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