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DEFICIT EN PYRUVATE KINASE</w:t>
      </w:r>
    </w:p>
    <w:p>
      <w:pPr>
        <w:numPr>
          <w:ilvl w:val="0"/>
          <w:numId w:val="31"/>
        </w:numPr>
      </w:pPr>
      <w:r>
        <w:rPr>
          <w:rFonts w:ascii="Times New Roman" w:hAnsi="Times New Roman"/>
        </w:rPr>
        <w:t>Transmission sur un mode autosomique récessif, hétérozygotes sans aucune anomalie</w:t>
      </w:r>
    </w:p>
    <w:p>
      <w:pPr>
        <w:numPr>
          <w:ilvl w:val="0"/>
          <w:numId w:val="31"/>
        </w:numPr>
      </w:pPr>
      <w:r>
        <w:rPr>
          <w:rFonts w:ascii="Times New Roman" w:hAnsi="Times New Roman"/>
        </w:rPr>
        <w:t>Tableau clinique et biologique</w:t>
      </w:r>
    </w:p>
    <w:p>
      <w:pPr>
        <w:numPr>
          <w:ilvl w:val="1"/>
          <w:numId w:val="31"/>
        </w:numPr>
      </w:pPr>
      <w:r>
        <w:rPr>
          <w:rFonts w:ascii="Times New Roman" w:hAnsi="Times New Roman"/>
        </w:rPr>
        <w:t>Hémolyse</w:t>
      </w:r>
    </w:p>
    <w:p>
      <w:pPr>
        <w:numPr>
          <w:ilvl w:val="1"/>
          <w:numId w:val="31"/>
        </w:numPr>
      </w:pPr>
      <w:r>
        <w:rPr>
          <w:rFonts w:ascii="Times New Roman" w:hAnsi="Times New Roman"/>
        </w:rPr>
        <w:t>Anémie</w:t>
      </w:r>
    </w:p>
    <w:p>
      <w:pPr>
        <w:numPr>
          <w:ilvl w:val="1"/>
          <w:numId w:val="31"/>
        </w:numPr>
      </w:pPr>
      <w:r>
        <w:rPr>
          <w:rFonts w:ascii="Times New Roman" w:hAnsi="Times New Roman"/>
        </w:rPr>
        <w:t>Ictère</w:t>
      </w:r>
    </w:p>
    <w:p>
      <w:pPr>
        <w:numPr>
          <w:ilvl w:val="1"/>
          <w:numId w:val="31"/>
        </w:numPr>
      </w:pPr>
      <w:r>
        <w:rPr>
          <w:rFonts w:ascii="Times New Roman" w:hAnsi="Times New Roman"/>
        </w:rPr>
        <w:t>Splénomégalie</w:t>
      </w:r>
    </w:p>
    <w:p>
      <w:pPr>
        <w:pStyle w:val="Heading2"/>
      </w:pPr>
      <w:r>
        <w:rPr>
          <w:rFonts w:ascii="Times New Roman" w:hAnsi="Times New Roman"/>
        </w:rPr>
        <w:t>DIAGNOSTIC</w:t>
      </w:r>
    </w:p>
    <w:p>
      <w:pPr>
        <w:numPr>
          <w:ilvl w:val="0"/>
          <w:numId w:val="32"/>
        </w:numPr>
      </w:pPr>
      <w:r>
        <w:rPr>
          <w:rFonts w:ascii="Times New Roman" w:hAnsi="Times New Roman"/>
        </w:rPr>
        <w:t>Taux bas d'activité enzymatique en pyruvate kinase</w:t>
      </w:r>
    </w:p>
    <w:p>
      <w:pPr>
        <w:numPr>
          <w:ilvl w:val="0"/>
          <w:numId w:val="32"/>
        </w:numPr>
      </w:pPr>
      <w:r>
        <w:rPr>
          <w:rFonts w:ascii="Times New Roman" w:hAnsi="Times New Roman"/>
        </w:rPr>
        <w:t>Réticulocytose importante</w:t>
      </w:r>
    </w:p>
    <w:p>
      <w:pPr>
        <w:pStyle w:val="Heading2"/>
      </w:pPr>
      <w:r>
        <w:rPr>
          <w:rFonts w:ascii="Times New Roman" w:hAnsi="Times New Roman"/>
        </w:rPr>
        <w:t>TRAITEMENT</w:t>
      </w:r>
    </w:p>
    <w:p>
      <w:pPr>
        <w:numPr>
          <w:ilvl w:val="0"/>
          <w:numId w:val="33"/>
        </w:numPr>
      </w:pPr>
      <w:r>
        <w:rPr>
          <w:rFonts w:ascii="Times New Roman" w:hAnsi="Times New Roman"/>
        </w:rPr>
        <w:t>Pas de traitement spécifique</w:t>
      </w:r>
    </w:p>
    <w:p>
      <w:pPr>
        <w:numPr>
          <w:ilvl w:val="0"/>
          <w:numId w:val="33"/>
        </w:numPr>
      </w:pPr>
      <w:r>
        <w:rPr>
          <w:rFonts w:ascii="Times New Roman" w:hAnsi="Times New Roman"/>
        </w:rPr>
        <w:t>Transfusions pouvant être nécessaires</w:t>
      </w:r>
    </w:p>
    <w:p>
      <w:pPr>
        <w:numPr>
          <w:ilvl w:val="0"/>
          <w:numId w:val="33"/>
        </w:numPr>
      </w:pPr>
      <w:r>
        <w:rPr>
          <w:rFonts w:ascii="Times New Roman" w:hAnsi="Times New Roman"/>
        </w:rPr>
        <w:t>Splénectomie permet d'espacer les transfusions sans faire disparaître l'hémolyse (</w:t>
      </w:r>
      <w:r>
        <w:rPr>
          <w:rFonts w:ascii="Times New Roman" w:hAnsi="Times New Roman"/>
          <w:i/>
        </w:rPr>
        <w:t xml:space="preserve">à discuter, avis pluridisciplinaire) </w:t>
      </w:r>
    </w:p>
    <w:p>
      <w:pPr/>
      <w:r>
        <w:rPr>
          <w:rFonts w:ascii="Times New Roman" w:hAnsi="Times New Roman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