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ECHANGE TRANSFUSIONNEL</w:t>
      </w:r>
    </w:p>
    <w:p>
      <w:pPr>
        <w:pStyle w:val="Heading2"/>
      </w:pPr>
      <w:r>
        <w:rPr/>
        <w:t>Définition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 xml:space="preserve">Acte qui associe une soustraction de </w:t>
      </w:r>
      <w:r>
        <w:rPr>
          <w:rFonts w:ascii="Times New Roman" w:hAnsi="Times New Roman"/>
        </w:rPr>
        <w:t>ou une partie) et une transfusion</w:t>
      </w:r>
    </w:p>
    <w:p>
      <w:pPr>
        <w:numPr>
          <w:ilvl w:val="0"/>
          <w:numId w:val="89"/>
        </w:numPr>
      </w:pPr>
    </w:p>
    <w:p>
      <w:pPr>
        <w:pStyle w:val="Heading2"/>
      </w:pPr>
      <w:r>
        <w:rPr/>
        <w:t>Indications</w:t>
      </w:r>
    </w:p>
    <w:p>
      <w:pPr>
        <w:numPr>
          <w:ilvl w:val="0"/>
          <w:numId w:val="90"/>
        </w:numPr>
      </w:pPr>
      <w:r>
        <w:rPr>
          <w:rFonts w:ascii="Times New Roman" w:hAnsi="Times New Roman"/>
        </w:rPr>
        <w:t>Soustraire du sang un contenu qui pourrait être dangereux ou nuisible pour l'organisme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Les cellules sanguines</w:t>
      </w:r>
    </w:p>
    <w:p>
      <w:pPr>
        <w:numPr>
          <w:ilvl w:val="2"/>
          <w:numId w:val="90"/>
        </w:numPr>
      </w:pPr>
      <w:r>
        <w:rPr>
          <w:rFonts w:ascii="Times New Roman" w:hAnsi="Times New Roman"/>
          <w:b/>
        </w:rPr>
        <w:t>Drépanocytes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  <w:i/>
        </w:rPr>
        <w:t>drépanocytose</w:t>
      </w:r>
      <w:r>
        <w:rPr>
          <w:rFonts w:ascii="Times New Roman" w:hAnsi="Times New Roman"/>
          <w:b/>
          <w:i/>
        </w:rPr>
        <w:t>: parmi les premières indications de l'échange transfusionnel</w:t>
      </w:r>
      <w:r>
        <w:rPr>
          <w:rFonts w:ascii="Times New Roman" w:hAnsi="Times New Roman"/>
        </w:rPr>
        <w:t xml:space="preserve"> cellules leucémiques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Le contenu du plasma</w:t>
      </w:r>
    </w:p>
    <w:p>
      <w:pPr>
        <w:numPr>
          <w:ilvl w:val="2"/>
          <w:numId w:val="90"/>
        </w:numPr>
      </w:pPr>
      <w:r>
        <w:rPr>
          <w:rFonts w:ascii="Times New Roman" w:hAnsi="Times New Roman"/>
          <w:i/>
        </w:rPr>
        <w:t xml:space="preserve">incompatibilité </w:t>
      </w:r>
      <w:r>
        <w:rPr>
          <w:rFonts w:ascii="Times New Roman" w:hAnsi="Times New Roman"/>
          <w:i/>
        </w:rPr>
        <w:t>)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bilirubine(</w:t>
      </w:r>
      <w:r>
        <w:rPr>
          <w:rFonts w:ascii="Times New Roman" w:hAnsi="Times New Roman"/>
        </w:rPr>
        <w:t>IFP )</w:t>
      </w:r>
      <w:r>
        <w:rPr>
          <w:rFonts w:ascii="Times New Roman" w:hAnsi="Times New Roman"/>
        </w:rPr>
        <w:t>, toxique (</w:t>
      </w:r>
      <w:r>
        <w:rPr>
          <w:rFonts w:ascii="Times New Roman" w:hAnsi="Times New Roman"/>
          <w:i/>
        </w:rPr>
        <w:t xml:space="preserve">intoxication) 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Le sang en totalité</w:t>
      </w:r>
    </w:p>
    <w:p>
      <w:pPr>
        <w:numPr>
          <w:ilvl w:val="2"/>
          <w:numId w:val="90"/>
        </w:numPr>
      </w:pPr>
      <w:r>
        <w:rPr>
          <w:rFonts w:ascii="Times New Roman" w:hAnsi="Times New Roman"/>
        </w:rPr>
        <w:t>Absence de plaquettes ou de facteurs de coagulation</w:t>
      </w:r>
    </w:p>
    <w:p>
      <w:pPr/>
    </w:p>
    <w:p>
      <w:pPr>
        <w:pStyle w:val="Heading2"/>
      </w:pPr>
      <w:r>
        <w:rPr/>
        <w:t>METHODES</w:t>
      </w:r>
      <w:r>
        <w:rPr/>
        <w:t xml:space="preserve"> 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Manuelle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 xml:space="preserve">Utilisant un appareil (aphérèse) </w:t>
      </w:r>
    </w:p>
    <w:p>
      <w:pPr>
        <w:numPr>
          <w:ilvl w:val="0"/>
          <w:numId w:val="91"/>
        </w:numPr>
      </w:pPr>
    </w:p>
    <w:p>
      <w:pPr/>
    </w:p>
    <w:p>
      <w:pPr/>
    </w:p>
    <w:p>
      <w:pPr>
        <w:numPr>
          <w:ilvl w:val="0"/>
          <w:numId w:val="91"/>
        </w:numPr>
      </w:pPr>
    </w:p>
    <w:p>
      <w:pPr>
        <w:pStyle w:val="Heading2"/>
      </w:pPr>
      <w:r>
        <w:rPr/>
        <w:t>COMPLICATIONS</w:t>
      </w:r>
      <w:r>
        <w:rPr/>
        <w:t xml:space="preserve"> DE LA TRANSFUSION SANGUINE</w:t>
      </w:r>
    </w:p>
    <w:p>
      <w:pPr/>
      <w:r>
        <w:rPr>
          <w:rFonts w:ascii="Times New Roman" w:hAnsi="Times New Roman"/>
        </w:rPr>
        <w:t>Transfusion potentiellement grave par des complications</w:t>
      </w:r>
    </w:p>
    <w:p>
      <w:pPr>
        <w:numPr>
          <w:ilvl w:val="0"/>
          <w:numId w:val="92"/>
        </w:numPr>
      </w:pPr>
      <w:r>
        <w:rPr>
          <w:rFonts w:ascii="Times New Roman" w:hAnsi="Times New Roman"/>
        </w:rPr>
        <w:t>Accidents immunologiques</w:t>
      </w:r>
    </w:p>
    <w:p>
      <w:pPr>
        <w:numPr>
          <w:ilvl w:val="0"/>
          <w:numId w:val="92"/>
        </w:numPr>
      </w:pPr>
      <w:r>
        <w:rPr>
          <w:rFonts w:ascii="Times New Roman" w:hAnsi="Times New Roman"/>
        </w:rPr>
        <w:t>Complications infectieuses</w:t>
      </w:r>
    </w:p>
    <w:p>
      <w:pPr>
        <w:numPr>
          <w:ilvl w:val="0"/>
          <w:numId w:val="92"/>
        </w:numPr>
      </w:pPr>
      <w:r>
        <w:rPr>
          <w:rFonts w:ascii="Times New Roman" w:hAnsi="Times New Roman"/>
        </w:rPr>
        <w:t>Accidents de surcharge</w:t>
      </w:r>
    </w:p>
    <w:p>
      <w:pPr/>
    </w:p>
    <w:p>
      <w:pPr>
        <w:pStyle w:val="Heading3"/>
      </w:pPr>
      <w:r>
        <w:rPr/>
        <w:t>COMPLICATIONS IMMUNOLOGIQUES</w:t>
      </w:r>
    </w:p>
    <w:p>
      <w:pPr>
        <w:numPr>
          <w:ilvl w:val="0"/>
          <w:numId w:val="93"/>
        </w:numPr>
      </w:pPr>
      <w:r>
        <w:rPr>
          <w:rFonts w:ascii="Times New Roman" w:hAnsi="Times New Roman"/>
        </w:rPr>
        <w:t>La transfusion d'une poche de sang apporte plusieurs types d'antigènes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Ag érythrocytaires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Ag plaquettaires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Ag leucocytaires</w:t>
      </w:r>
    </w:p>
    <w:p>
      <w:pPr>
        <w:numPr>
          <w:ilvl w:val="1"/>
          <w:numId w:val="93"/>
        </w:numPr>
      </w:pPr>
      <w:r>
        <w:rPr>
          <w:rFonts w:ascii="Times New Roman" w:hAnsi="Times New Roman"/>
        </w:rPr>
        <w:t>Ag des protéines plasmatiques</w:t>
      </w:r>
    </w:p>
    <w:p>
      <w:pPr>
        <w:numPr>
          <w:ilvl w:val="0"/>
          <w:numId w:val="93"/>
        </w:numPr>
      </w:pPr>
      <w:r>
        <w:rPr>
          <w:rFonts w:ascii="Times New Roman" w:hAnsi="Times New Roman"/>
        </w:rPr>
        <w:t>La rencontre avec un anticorps du receveur provoque un conflit immunologique</w:t>
      </w:r>
    </w:p>
    <w:p>
      <w:pPr>
        <w:numPr>
          <w:ilvl w:val="0"/>
          <w:numId w:val="93"/>
        </w:numPr>
      </w:pPr>
    </w:p>
    <w:p>
      <w:pPr>
        <w:pStyle w:val="Heading4"/>
      </w:pPr>
      <w:r>
        <w:rPr/>
        <w:t xml:space="preserve">Conflit Ag GR- </w:t>
      </w:r>
      <w:r>
        <w:rPr/>
        <w:t>Ac</w:t>
      </w:r>
      <w:r>
        <w:rPr/>
        <w:t>:</w:t>
      </w:r>
      <w:r>
        <w:rPr/>
        <w:t xml:space="preserve"> hémolyse</w:t>
      </w:r>
    </w:p>
    <w:p>
      <w:pPr>
        <w:pStyle w:val="Heading5"/>
      </w:pPr>
      <w:r>
        <w:rPr/>
        <w:t>Causes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Erreur de groupage (test de compatibilité ultime au lit +++) 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Sang du donneur porteur d'Ag (Rh, Kell, Duffy) que le receveur ne possède pas avec une immunisation préalable (par transfusion, grossesse) </w:t>
      </w:r>
    </w:p>
    <w:p>
      <w:pPr>
        <w:pStyle w:val="Heading5"/>
      </w:pPr>
      <w:r>
        <w:rPr/>
        <w:t>Clinique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Céphalée, angoisse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Vomissement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Douleurs diffuses ou </w:t>
      </w:r>
      <w:r>
        <w:rPr>
          <w:rFonts w:ascii="Times New Roman" w:hAnsi="Times New Roman"/>
          <w:u w:val="single"/>
        </w:rPr>
        <w:t>lombaires</w:t>
      </w:r>
      <w:r>
        <w:rPr>
          <w:rFonts w:ascii="Times New Roman" w:hAnsi="Times New Roman"/>
          <w:u w:val="single"/>
        </w:rPr>
        <w:t xml:space="preserve">(complexe immun au niveau des reines) 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Frissons, fièvre, chute de la TA</w:t>
      </w:r>
    </w:p>
    <w:p>
      <w:pPr>
        <w:numPr>
          <w:ilvl w:val="2"/>
          <w:numId w:val="94"/>
        </w:numPr>
      </w:pPr>
      <w:r>
        <w:rPr>
          <w:rFonts w:ascii="Times New Roman" w:hAnsi="Times New Roman"/>
          <w:u w:val="single"/>
        </w:rPr>
        <w:t>D'apparition précoce</w:t>
      </w:r>
      <w:r>
        <w:rPr>
          <w:rFonts w:ascii="Times New Roman" w:hAnsi="Times New Roman"/>
          <w:u w:val="single"/>
        </w:rPr>
        <w:t>(</w:t>
      </w:r>
      <w:r>
        <w:rPr>
          <w:rFonts w:ascii="Times New Roman" w:hAnsi="Times New Roman"/>
          <w:i/>
        </w:rPr>
        <w:t xml:space="preserve">dès les premières gouttes) 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Faciles à reconnaître chez le sujet conscient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Collapsus</w:t>
      </w:r>
      <w:r>
        <w:rPr>
          <w:rFonts w:ascii="Times New Roman" w:hAnsi="Times New Roman"/>
        </w:rPr>
        <w:t xml:space="preserve">(pour les patients sous AG, comateux) </w:t>
      </w:r>
    </w:p>
    <w:p>
      <w:pPr>
        <w:pStyle w:val="Heading5"/>
      </w:pPr>
      <w:r>
        <w:rPr/>
        <w:t>Diagnostic</w:t>
      </w:r>
      <w:r>
        <w:rPr/>
        <w:t>: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Hémoglobinémie puis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Hémoglobinurie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contre Ag donneur chez le receveur</w:t>
      </w:r>
    </w:p>
    <w:p>
      <w:pPr>
        <w:pStyle w:val="Heading5"/>
      </w:pPr>
      <w:r>
        <w:rPr/>
        <w:t>Conduite à tenir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Prévention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Vérifier identité du patient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Correspondance groupe patient et sang à transfuser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Epreuve de compatibilité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Cross-match ultime au lit du malade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Surveiller les premiers </w:t>
      </w:r>
      <w:r>
        <w:rPr>
          <w:rFonts w:ascii="Times New Roman" w:hAnsi="Times New Roman"/>
          <w:i/>
        </w:rPr>
        <w:t xml:space="preserve">les signes d'hémolyse peuvent apparaître </w:t>
      </w:r>
      <w:r>
        <w:rPr>
          <w:rFonts w:ascii="Times New Roman" w:hAnsi="Times New Roman"/>
          <w:i/>
        </w:rPr>
        <w:t xml:space="preserve">: même lors des 5 premières minutes) 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Traitement curatif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Arrêter la transfusion </w:t>
      </w:r>
      <w:r>
        <w:rPr>
          <w:rFonts w:ascii="Times New Roman" w:hAnsi="Times New Roman"/>
        </w:rPr>
        <w:t xml:space="preserve"> les premiers signes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Envoyer du sang du patient et le reste de la poche au laboratoire ou à la banque de sang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 TA, pouls, FR, pression veineuse centrale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Eviter la survenue de choc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>Par du plasma ou albumine diluée ou par un substitut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 xml:space="preserve">Par la prévention de la survenue de l'acidose (par la perfusion de bicarbonate) 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Eviter ou maîtriser la CIVD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Eviter l'insuffisance rénale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 xml:space="preserve">Furosémide en IV 2-4 mg/kg toutes les heures 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>Mannitol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>Transférer en réanimation néphrologique</w:t>
      </w:r>
    </w:p>
    <w:p>
      <w:pPr/>
    </w:p>
    <w:p>
      <w:pPr>
        <w:pStyle w:val="Heading4"/>
      </w:pPr>
      <w:r>
        <w:rPr/>
        <w:t>Ag/</w:t>
      </w:r>
      <w:r>
        <w:rPr/>
        <w:t>Ac</w:t>
      </w:r>
      <w:r>
        <w:rPr/>
        <w:t xml:space="preserve"> anti-plaquettes </w:t>
      </w:r>
      <w:r>
        <w:rPr/>
        <w:t xml:space="preserve">: </w:t>
      </w:r>
      <w:r>
        <w:rPr>
          <w:i/>
        </w:rPr>
        <w:t xml:space="preserve">thrombopénie après la transfusion) 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Inefficacité transfusionnelle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Baisse du taux de plaquettes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 xml:space="preserve">Syndrome hémorragique si </w:t>
      </w:r>
      <w:r>
        <w:rPr>
          <w:rFonts w:ascii="Symbol" w:hAnsi="Symbol"/>
        </w:rPr>
      </w:r>
      <w:r>
        <w:rPr>
          <w:rFonts w:ascii="Times New Roman" w:hAnsi="Times New Roman"/>
          <w:i/>
        </w:rPr>
        <w:t xml:space="preserve"> à </w:t>
      </w:r>
      <w:r>
        <w:rPr>
          <w:rFonts w:ascii="Times New Roman" w:hAnsi="Times New Roman"/>
        </w:rPr>
        <w:t xml:space="preserve">50G/l </w:t>
      </w:r>
    </w:p>
    <w:p>
      <w:pPr>
        <w:numPr>
          <w:ilvl w:val="1"/>
          <w:numId w:val="94"/>
        </w:numPr>
      </w:pPr>
    </w:p>
    <w:p>
      <w:pPr>
        <w:pStyle w:val="Heading4"/>
      </w:pPr>
      <w:r>
        <w:rPr/>
        <w:t>Ag/</w:t>
      </w:r>
      <w:r>
        <w:rPr/>
        <w:t>Ac</w:t>
      </w:r>
      <w:r>
        <w:rPr/>
        <w:t xml:space="preserve"> anti-leucocytes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TRALI</w:t>
      </w:r>
      <w:r>
        <w:rPr>
          <w:rFonts w:ascii="Times New Roman" w:hAnsi="Times New Roman"/>
        </w:rPr>
        <w:t xml:space="preserve">(Transfusion </w:t>
      </w:r>
      <w:r>
        <w:rPr>
          <w:rFonts w:ascii="Times New Roman" w:hAnsi="Times New Roman"/>
        </w:rPr>
        <w:t>Related</w:t>
      </w:r>
      <w:r>
        <w:rPr>
          <w:rFonts w:ascii="Times New Roman" w:hAnsi="Times New Roman"/>
        </w:rPr>
        <w:t xml:space="preserve"> Acute Lung </w:t>
      </w:r>
      <w:r>
        <w:rPr>
          <w:rFonts w:ascii="Times New Roman" w:hAnsi="Times New Roman"/>
        </w:rPr>
        <w:t>Injury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OAP lésionnel (</w:t>
      </w:r>
      <w:r>
        <w:rPr>
          <w:rFonts w:ascii="Times New Roman" w:hAnsi="Times New Roman"/>
          <w:i/>
        </w:rPr>
        <w:t xml:space="preserve">complexe immun au niveau des poumons) 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Détresse respiratoire, toux, râles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 xml:space="preserve"> thoracique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HTA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Malaise, frissons</w:t>
      </w:r>
    </w:p>
    <w:p>
      <w:pPr/>
    </w:p>
    <w:p>
      <w:pPr>
        <w:pStyle w:val="Heading4"/>
      </w:pPr>
      <w:r>
        <w:rPr/>
        <w:t>Ag/</w:t>
      </w:r>
      <w:r>
        <w:rPr/>
        <w:t>Ac</w:t>
      </w:r>
      <w:r>
        <w:rPr/>
        <w:t xml:space="preserve"> des protéines plasmatiques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 xml:space="preserve">Allergie, prurit, urticaires, </w:t>
      </w:r>
      <w:r>
        <w:rPr>
          <w:rFonts w:ascii="Times New Roman" w:hAnsi="Times New Roman"/>
        </w:rPr>
        <w:t>oedème</w:t>
      </w:r>
      <w:r>
        <w:rPr>
          <w:rFonts w:ascii="Times New Roman" w:hAnsi="Times New Roman"/>
        </w:rPr>
        <w:t xml:space="preserve"> de Quincke</w:t>
      </w:r>
    </w:p>
    <w:p>
      <w:pPr>
        <w:numPr>
          <w:ilvl w:val="1"/>
          <w:numId w:val="94"/>
        </w:numPr>
      </w:pPr>
      <w:r>
        <w:rPr>
          <w:rFonts w:ascii="Times New Roman" w:hAnsi="Times New Roman"/>
        </w:rPr>
        <w:t>Traitement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 xml:space="preserve">Antihistaminique </w:t>
      </w:r>
      <w:r>
        <w:rPr>
          <w:rFonts w:ascii="Times New Roman" w:hAnsi="Times New Roman"/>
        </w:rPr>
        <w:t xml:space="preserve">( </w:t>
      </w:r>
      <w:r>
        <w:rPr>
          <w:rFonts w:ascii="Times New Roman" w:hAnsi="Times New Roman"/>
        </w:rPr>
        <w:t>Polaramine</w:t>
      </w:r>
      <w:r>
        <w:rPr>
          <w:rFonts w:ascii="Times New Roman" w:hAnsi="Times New Roman"/>
        </w:rPr>
        <w:t xml:space="preserve">*, Théralène*) </w:t>
      </w:r>
    </w:p>
    <w:p>
      <w:pPr>
        <w:numPr>
          <w:ilvl w:val="3"/>
          <w:numId w:val="94"/>
        </w:numPr>
      </w:pPr>
      <w:r>
        <w:rPr>
          <w:rFonts w:ascii="Times New Roman" w:hAnsi="Times New Roman"/>
        </w:rPr>
        <w:t xml:space="preserve">Possible en préventif </w:t>
      </w:r>
      <w:r>
        <w:rPr>
          <w:rFonts w:ascii="Times New Roman" w:hAnsi="Times New Roman"/>
          <w:i/>
        </w:rPr>
        <w:t xml:space="preserve"> si antécédent de réaction allergique antérieure</w:t>
      </w:r>
    </w:p>
    <w:p>
      <w:pPr>
        <w:numPr>
          <w:ilvl w:val="2"/>
          <w:numId w:val="94"/>
        </w:numPr>
      </w:pPr>
      <w:r>
        <w:rPr>
          <w:rFonts w:ascii="Times New Roman" w:hAnsi="Times New Roman"/>
        </w:rPr>
        <w:t>Corticothérapie (Solu-</w:t>
      </w:r>
      <w:r>
        <w:rPr>
          <w:rFonts w:ascii="Times New Roman" w:hAnsi="Times New Roman"/>
        </w:rPr>
        <w:t>Médrol</w:t>
      </w:r>
      <w:r>
        <w:rPr>
          <w:rFonts w:ascii="Times New Roman" w:hAnsi="Times New Roman"/>
        </w:rPr>
        <w:t xml:space="preserve">* Méthylprednisolone) </w:t>
      </w:r>
      <w:r>
        <w:rPr>
          <w:rFonts w:ascii="Times New Roman" w:hAnsi="Times New Roman"/>
          <w:i/>
        </w:rPr>
        <w:t>surtout les formes graves comme l'</w:t>
      </w:r>
      <w:r>
        <w:rPr>
          <w:rFonts w:ascii="Times New Roman" w:hAnsi="Times New Roman"/>
          <w:i/>
        </w:rPr>
        <w:t xml:space="preserve"> de Quincke</w:t>
      </w:r>
    </w:p>
    <w:p>
      <w:pPr>
        <w:numPr>
          <w:ilvl w:val="2"/>
          <w:numId w:val="94"/>
        </w:numPr>
      </w:pPr>
    </w:p>
    <w:p>
      <w:pPr>
        <w:pStyle w:val="Heading3"/>
      </w:pPr>
      <w:r>
        <w:rPr/>
        <w:t>COMPLICATIONS INFECTIEUSES</w:t>
      </w:r>
    </w:p>
    <w:p>
      <w:pPr>
        <w:pStyle w:val="Heading4"/>
      </w:pPr>
      <w:r>
        <w:rPr/>
        <w:t xml:space="preserve">Précoces, </w:t>
      </w:r>
    </w:p>
    <w:p>
      <w:pPr>
        <w:numPr>
          <w:ilvl w:val="0"/>
          <w:numId w:val="95"/>
        </w:numPr>
      </w:pPr>
      <w:r>
        <w:rPr/>
        <w:t xml:space="preserve"> Infections bactériennes massives (BGN) par rupture de la chaîne de froid d'où multiplication des bactéries</w:t>
      </w:r>
    </w:p>
    <w:p>
      <w:pPr>
        <w:numPr>
          <w:ilvl w:val="1"/>
          <w:numId w:val="95"/>
        </w:numPr>
      </w:pPr>
      <w:r>
        <w:rPr/>
        <w:t>Choc toxique, CIVD</w:t>
      </w:r>
    </w:p>
    <w:p>
      <w:pPr>
        <w:numPr>
          <w:ilvl w:val="1"/>
          <w:numId w:val="95"/>
        </w:numPr>
      </w:pPr>
      <w:r>
        <w:rPr/>
        <w:t xml:space="preserve">Hyperthermie, frisson, </w:t>
      </w:r>
      <w:r>
        <w:rPr/>
        <w:t>hTA</w:t>
      </w:r>
      <w:r>
        <w:rPr/>
        <w:t>, tachycardie, AEG</w:t>
      </w:r>
    </w:p>
    <w:p>
      <w:pPr>
        <w:numPr>
          <w:ilvl w:val="1"/>
          <w:numId w:val="95"/>
        </w:numPr>
      </w:pPr>
      <w:r>
        <w:rPr/>
        <w:t>PEC de l'état de choc (</w:t>
      </w:r>
      <w:r>
        <w:rPr>
          <w:i/>
        </w:rPr>
        <w:t xml:space="preserve">remplissage, amines vasoactives si nécessaires) </w:t>
      </w:r>
    </w:p>
    <w:p>
      <w:pPr>
        <w:numPr>
          <w:ilvl w:val="1"/>
          <w:numId w:val="95"/>
        </w:numPr>
      </w:pPr>
      <w:r>
        <w:rPr/>
        <w:t>Analyse bactériologique de la poche de sang</w:t>
      </w:r>
    </w:p>
    <w:p>
      <w:pPr>
        <w:numPr>
          <w:ilvl w:val="1"/>
          <w:numId w:val="95"/>
        </w:numPr>
      </w:pPr>
      <w:r>
        <w:rPr/>
        <w:t>Antibiothérapie +++</w:t>
      </w:r>
    </w:p>
    <w:p>
      <w:pPr>
        <w:pStyle w:val="Heading4"/>
      </w:pPr>
      <w:r>
        <w:rPr/>
        <w:t>Tardives :</w:t>
      </w:r>
      <w:r>
        <w:rPr/>
        <w:t xml:space="preserve"> transmission de maladies </w:t>
      </w:r>
    </w:p>
    <w:p>
      <w:pPr>
        <w:numPr>
          <w:ilvl w:val="1"/>
          <w:numId w:val="95"/>
        </w:numPr>
      </w:pPr>
      <w:r>
        <w:rPr/>
        <w:t xml:space="preserve"> syphilis</w:t>
      </w:r>
    </w:p>
    <w:p>
      <w:pPr>
        <w:numPr>
          <w:ilvl w:val="1"/>
          <w:numId w:val="95"/>
        </w:numPr>
      </w:pPr>
      <w:r>
        <w:rPr/>
        <w:t xml:space="preserve"> </w:t>
      </w:r>
      <w:r>
        <w:rPr/>
        <w:t xml:space="preserve"> A B C, SIDA, CMV</w:t>
      </w:r>
    </w:p>
    <w:p>
      <w:pPr>
        <w:numPr>
          <w:ilvl w:val="1"/>
          <w:numId w:val="95"/>
        </w:numPr>
      </w:pPr>
      <w:r>
        <w:rPr/>
        <w:t xml:space="preserve"> paludisme</w:t>
      </w:r>
    </w:p>
    <w:p>
      <w:pPr/>
      <w:r>
        <w:rPr/>
        <w:t>Traiter la maladie infectieuse</w:t>
      </w:r>
    </w:p>
    <w:p>
      <w:pPr/>
    </w:p>
    <w:p>
      <w:pPr>
        <w:pStyle w:val="Heading3"/>
      </w:pPr>
      <w:r>
        <w:rPr/>
        <w:t>COMPLICATIONS DE SURCHARGE</w:t>
      </w:r>
    </w:p>
    <w:p>
      <w:pPr>
        <w:numPr>
          <w:ilvl w:val="0"/>
          <w:numId w:val="96"/>
        </w:numPr>
      </w:pPr>
      <w:r>
        <w:rPr>
          <w:rFonts w:ascii="Times New Roman" w:hAnsi="Times New Roman"/>
        </w:rPr>
        <w:t>Surcharge volémique</w:t>
      </w:r>
    </w:p>
    <w:p>
      <w:pPr>
        <w:numPr>
          <w:ilvl w:val="0"/>
          <w:numId w:val="96"/>
        </w:numPr>
      </w:pPr>
      <w:r>
        <w:rPr>
          <w:rFonts w:ascii="Times New Roman" w:hAnsi="Times New Roman"/>
        </w:rPr>
        <w:t>Surcharge en anticoagulant</w:t>
      </w:r>
    </w:p>
    <w:p>
      <w:pPr>
        <w:numPr>
          <w:ilvl w:val="0"/>
          <w:numId w:val="96"/>
        </w:numPr>
      </w:pPr>
      <w:r>
        <w:rPr>
          <w:rFonts w:ascii="Times New Roman" w:hAnsi="Times New Roman"/>
        </w:rPr>
        <w:t>Surcharge en fer</w:t>
      </w:r>
    </w:p>
    <w:p>
      <w:pPr/>
    </w:p>
    <w:p>
      <w:pPr>
        <w:pStyle w:val="Heading4"/>
      </w:pPr>
      <w:r>
        <w:rPr/>
        <w:t>Surcharge volémique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>Immédiate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 xml:space="preserve">OAP hémodynamique, non lésionnel 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 xml:space="preserve">TACO (transfusion Acute </w:t>
      </w:r>
      <w:r>
        <w:rPr>
          <w:rFonts w:ascii="Times New Roman" w:hAnsi="Times New Roman"/>
        </w:rPr>
        <w:t>Cardiac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Overload</w:t>
      </w:r>
      <w:r>
        <w:rPr>
          <w:rFonts w:ascii="Times New Roman" w:hAnsi="Times New Roman"/>
        </w:rPr>
        <w:t xml:space="preserve">) 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 respiratoire, toux, crachat strié de sang, angoisse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Sujets à risques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maladies cardiaques, sujet âgé, jeunes enfants (15ml/kg/j)</w:t>
      </w:r>
    </w:p>
    <w:p>
      <w:pPr>
        <w:numPr>
          <w:ilvl w:val="2"/>
          <w:numId w:val="97"/>
        </w:numPr>
      </w:pPr>
      <w:r>
        <w:rPr>
          <w:rFonts w:ascii="Times New Roman" w:hAnsi="Times New Roman"/>
          <w:b/>
        </w:rPr>
        <w:t>Débit trop rapide</w:t>
      </w:r>
    </w:p>
    <w:p>
      <w:pPr/>
    </w:p>
    <w:p>
      <w:pPr>
        <w:pStyle w:val="Heading4"/>
      </w:pPr>
      <w:r>
        <w:rPr/>
        <w:t>Surcharge en anticoagulant</w:t>
      </w:r>
      <w:r>
        <w:rPr/>
        <w:t>: Citrate</w:t>
      </w:r>
      <w:r>
        <w:rPr/>
        <w:t xml:space="preserve">(chélateur de Ça) </w:t>
      </w:r>
    </w:p>
    <w:p>
      <w:pPr>
        <w:numPr>
          <w:ilvl w:val="1"/>
          <w:numId w:val="97"/>
        </w:numPr>
      </w:pPr>
      <w:r>
        <w:rPr>
          <w:rFonts w:ascii="Times New Roman" w:hAnsi="Times New Roman"/>
        </w:rPr>
        <w:t>Exsanguinotransfusion, transfusion massive</w:t>
      </w:r>
    </w:p>
    <w:p>
      <w:pPr>
        <w:pStyle w:val="Heading5"/>
      </w:pPr>
      <w:r>
        <w:rPr/>
        <w:t>Clinique</w:t>
      </w:r>
    </w:p>
    <w:p>
      <w:pPr>
        <w:numPr>
          <w:ilvl w:val="1"/>
          <w:numId w:val="97"/>
        </w:numPr>
      </w:pPr>
      <w:r>
        <w:rPr>
          <w:rFonts w:ascii="Times New Roman" w:hAnsi="Times New Roman"/>
          <w:b/>
        </w:rPr>
        <w:t xml:space="preserve"> </w:t>
      </w:r>
    </w:p>
    <w:p>
      <w:pPr>
        <w:numPr>
          <w:ilvl w:val="2"/>
          <w:numId w:val="97"/>
        </w:numPr>
      </w:pPr>
      <w:r>
        <w:rPr>
          <w:rFonts w:ascii="Times New Roman" w:hAnsi="Times New Roman"/>
          <w:b/>
        </w:rPr>
        <w:t>Paresthésies buccales, trémulation musculaire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Malaise, bradycardie, </w:t>
      </w:r>
      <w:r>
        <w:rPr>
          <w:rFonts w:ascii="Times New Roman" w:hAnsi="Times New Roman"/>
        </w:rPr>
        <w:t>hTA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 allongement de QE, déplétion de l'onde T et de l'onde P</w:t>
      </w:r>
    </w:p>
    <w:p>
      <w:pPr>
        <w:numPr>
          <w:ilvl w:val="1"/>
          <w:numId w:val="97"/>
        </w:numPr>
      </w:pP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Fibrillation ventriculaire, arrêt cardiaque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HTP et OAP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Tétanie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Hémorragie</w:t>
      </w:r>
    </w:p>
    <w:p>
      <w:pPr>
        <w:pStyle w:val="Heading5"/>
      </w:pPr>
      <w:r>
        <w:rPr/>
        <w:t>Traitement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 gluconate de </w:t>
      </w:r>
      <w:r>
        <w:rPr>
          <w:rFonts w:ascii="Times New Roman" w:hAnsi="Times New Roman"/>
        </w:rPr>
        <w:t>Ca</w:t>
      </w:r>
      <w:r>
        <w:rPr>
          <w:rFonts w:ascii="Times New Roman" w:hAnsi="Times New Roman"/>
        </w:rPr>
        <w:t xml:space="preserve"> 10ml ou chlorure de Ca 2ml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 Gluconate de Ca 1-2g en IVDL</w:t>
      </w:r>
    </w:p>
    <w:p>
      <w:pPr/>
    </w:p>
    <w:p>
      <w:pPr>
        <w:pStyle w:val="Heading4"/>
      </w:pPr>
      <w:r>
        <w:rPr/>
        <w:t>Surcharge en fer : Hémochromatose</w:t>
      </w:r>
    </w:p>
    <w:p>
      <w:pPr>
        <w:pStyle w:val="Heading5"/>
      </w:pP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Surcharge en fer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Diabète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Hépatomégalie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Splénomégalie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Pigmentation cutanée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Insuffisance cardiaque </w:t>
      </w:r>
    </w:p>
    <w:p>
      <w:pPr>
        <w:pStyle w:val="Heading5"/>
      </w:pP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 xml:space="preserve">Augmentation du fer sérique, de la </w:t>
      </w:r>
      <w:r>
        <w:rPr>
          <w:rFonts w:ascii="Times New Roman" w:hAnsi="Times New Roman"/>
        </w:rPr>
        <w:t>férritinémie</w:t>
      </w:r>
      <w:r>
        <w:rPr>
          <w:rFonts w:ascii="Times New Roman" w:hAnsi="Times New Roman"/>
        </w:rPr>
        <w:t xml:space="preserve">, et de la </w:t>
      </w:r>
      <w:r>
        <w:rPr>
          <w:rFonts w:ascii="Times New Roman" w:hAnsi="Times New Roman"/>
        </w:rPr>
        <w:t>transferrinémie</w:t>
      </w:r>
      <w:r>
        <w:rPr>
          <w:rFonts w:ascii="Times New Roman" w:hAnsi="Times New Roman"/>
        </w:rPr>
        <w:t xml:space="preserve"> </w:t>
      </w:r>
    </w:p>
    <w:p>
      <w:pPr>
        <w:pStyle w:val="Heading5"/>
      </w:pPr>
      <w:r>
        <w:rPr/>
        <w:t>Traitement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Prévention</w:t>
      </w:r>
    </w:p>
    <w:p>
      <w:pPr>
        <w:numPr>
          <w:ilvl w:val="3"/>
          <w:numId w:val="97"/>
        </w:numPr>
      </w:pPr>
      <w:r>
        <w:rPr>
          <w:rFonts w:ascii="Times New Roman" w:hAnsi="Times New Roman"/>
        </w:rPr>
        <w:t>Espacer les transfusions</w:t>
      </w:r>
    </w:p>
    <w:p>
      <w:pPr>
        <w:numPr>
          <w:ilvl w:val="3"/>
          <w:numId w:val="97"/>
        </w:numPr>
      </w:pPr>
      <w:r>
        <w:rPr>
          <w:rFonts w:ascii="Times New Roman" w:hAnsi="Times New Roman"/>
        </w:rPr>
        <w:t>Echange transfusionnel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Traitement curatif</w:t>
      </w:r>
    </w:p>
    <w:p>
      <w:pPr>
        <w:numPr>
          <w:ilvl w:val="3"/>
          <w:numId w:val="97"/>
        </w:numPr>
      </w:pPr>
      <w:r>
        <w:rPr>
          <w:rFonts w:ascii="Times New Roman" w:hAnsi="Times New Roman"/>
        </w:rPr>
        <w:t>Chélateur de fer</w:t>
      </w:r>
    </w:p>
    <w:p>
      <w:pPr>
        <w:numPr>
          <w:ilvl w:val="4"/>
          <w:numId w:val="97"/>
        </w:numPr>
      </w:pPr>
      <w:r>
        <w:rPr>
          <w:rFonts w:ascii="Times New Roman" w:hAnsi="Times New Roman"/>
        </w:rPr>
        <w:t xml:space="preserve">Injection de </w:t>
      </w:r>
      <w:r>
        <w:rPr>
          <w:rFonts w:ascii="Times New Roman" w:hAnsi="Times New Roman"/>
        </w:rPr>
        <w:t>Desferoxamine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Desferal</w:t>
      </w:r>
      <w:r>
        <w:rPr>
          <w:rFonts w:ascii="Times New Roman" w:hAnsi="Times New Roman"/>
        </w:rPr>
        <w:t>* 500mg en IM ou en IV par jour</w:t>
      </w:r>
    </w:p>
    <w:p>
      <w:pPr>
        <w:numPr>
          <w:ilvl w:val="4"/>
          <w:numId w:val="97"/>
        </w:numPr>
      </w:pPr>
      <w:r>
        <w:rPr>
          <w:rFonts w:ascii="Times New Roman" w:hAnsi="Times New Roman"/>
        </w:rPr>
        <w:t>Desferasirox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Exjade</w:t>
      </w:r>
      <w:r>
        <w:rPr>
          <w:rFonts w:ascii="Times New Roman" w:hAnsi="Times New Roman"/>
        </w:rPr>
        <w:t xml:space="preserve">* </w:t>
      </w:r>
      <w:r>
        <w:rPr>
          <w:rFonts w:ascii="Times New Roman" w:hAnsi="Times New Roman"/>
        </w:rPr>
        <w:t>Asunra</w:t>
      </w:r>
      <w:r>
        <w:rPr>
          <w:rFonts w:ascii="Times New Roman" w:hAnsi="Times New Roman"/>
        </w:rPr>
        <w:t>*</w:t>
      </w:r>
    </w:p>
    <w:p>
      <w:pPr>
        <w:numPr>
          <w:ilvl w:val="5"/>
          <w:numId w:val="97"/>
        </w:numPr>
      </w:pPr>
      <w:r>
        <w:rPr>
          <w:rFonts w:ascii="Times New Roman" w:hAnsi="Times New Roman"/>
        </w:rPr>
        <w:t>Per os 20 mg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 xml:space="preserve">kg/j (surveillance de la créatininémie) </w:t>
      </w:r>
    </w:p>
    <w:p>
      <w:pPr/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Ne transfuser que ceux qui en ont besoin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Ne transfuser que le PSL nécessaire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Bien surveiller le patient transfusé</w:t>
      </w:r>
    </w:p>
    <w:p>
      <w:pPr>
        <w:numPr>
          <w:ilvl w:val="2"/>
          <w:numId w:val="97"/>
        </w:numPr>
      </w:pPr>
      <w:r>
        <w:rPr>
          <w:rFonts w:ascii="Times New Roman" w:hAnsi="Times New Roman"/>
        </w:rPr>
        <w:t>Une partie des complications immunologiques et infectieuses sont évitables par une bonne sensibilisation et une bonne sélection des donneurs</w:t>
      </w:r>
    </w:p>
    <w:p>
      <w:pPr/>
    </w:p>
    <w:p>
      <w:pPr>
        <w:spacing w:line="48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