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HÉMORRAGIES LIÉES À LA FIBRINOLYSE</w:t>
      </w:r>
    </w:p>
    <w:p>
      <w:pPr>
        <w:pStyle w:val="Heading2"/>
      </w:pPr>
      <w:r>
        <w:rPr/>
        <w:t>FIBRINOLYSE PRIMITIVE</w:t>
      </w:r>
    </w:p>
    <w:p>
      <w:pPr>
        <w:numPr>
          <w:ilvl w:val="0"/>
          <w:numId w:val="83"/>
        </w:numPr>
      </w:pPr>
      <w:r>
        <w:rPr>
          <w:rFonts w:ascii="Times New Roman" w:hAnsi="Times New Roman"/>
        </w:rPr>
        <w:t xml:space="preserve">Libération massive d'activateur du plasminogène (t-PA) </w:t>
      </w:r>
      <w:r>
        <w:rPr>
          <w:rFonts w:ascii="Times New Roman" w:hAnsi="Times New Roman"/>
          <w:i/>
        </w:rPr>
        <w:t>au cours de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>Cirrhoses avec HTP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>Cancers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>Accouchements compliqués, traumatisme utérin (</w:t>
      </w:r>
      <w:r>
        <w:rPr>
          <w:rFonts w:ascii="Times New Roman" w:hAnsi="Times New Roman"/>
          <w:i/>
        </w:rPr>
        <w:t>csq</w:t>
      </w:r>
      <w:r>
        <w:rPr>
          <w:rFonts w:ascii="Times New Roman" w:hAnsi="Times New Roman"/>
          <w:i/>
        </w:rPr>
        <w:t xml:space="preserve"> =sd </w:t>
      </w:r>
      <w:r>
        <w:rPr>
          <w:rFonts w:ascii="Times New Roman" w:hAnsi="Times New Roman"/>
          <w:i/>
        </w:rPr>
        <w:t>hmrgq</w:t>
      </w:r>
      <w:r>
        <w:rPr>
          <w:rFonts w:ascii="Times New Roman" w:hAnsi="Times New Roman"/>
          <w:i/>
        </w:rPr>
        <w:t>)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>Traumatisme au niveau pulmonaire, prostatique (</w:t>
      </w:r>
      <w:r>
        <w:rPr>
          <w:rFonts w:ascii="Times New Roman" w:hAnsi="Times New Roman"/>
          <w:i/>
        </w:rPr>
        <w:t>csq</w:t>
      </w:r>
      <w:r>
        <w:rPr>
          <w:rFonts w:ascii="Times New Roman" w:hAnsi="Times New Roman"/>
          <w:i/>
        </w:rPr>
        <w:t xml:space="preserve"> =sd </w:t>
      </w:r>
      <w:r>
        <w:rPr>
          <w:rFonts w:ascii="Times New Roman" w:hAnsi="Times New Roman"/>
          <w:i/>
        </w:rPr>
        <w:t>hmrgq</w:t>
      </w:r>
      <w:r>
        <w:rPr>
          <w:rFonts w:ascii="Times New Roman" w:hAnsi="Times New Roman"/>
          <w:i/>
        </w:rPr>
        <w:t>)</w:t>
      </w:r>
    </w:p>
    <w:p>
      <w:pPr>
        <w:numPr>
          <w:ilvl w:val="0"/>
          <w:numId w:val="83"/>
        </w:numPr>
      </w:pPr>
      <w:r>
        <w:rPr>
          <w:rFonts w:ascii="Times New Roman" w:hAnsi="Times New Roman"/>
        </w:rPr>
        <w:t>Saignement en nappe irréversible (</w:t>
      </w:r>
      <w:r>
        <w:rPr>
          <w:rFonts w:ascii="Times New Roman" w:hAnsi="Times New Roman"/>
          <w:i/>
        </w:rPr>
        <w:t>tsisy</w:t>
      </w:r>
      <w:r>
        <w:rPr>
          <w:rFonts w:ascii="Times New Roman" w:hAnsi="Times New Roman"/>
          <w:i/>
        </w:rPr>
        <w:t xml:space="preserve"> hémostase </w:t>
      </w:r>
      <w:r>
        <w:rPr>
          <w:rFonts w:ascii="Times New Roman" w:hAnsi="Times New Roman"/>
          <w:i/>
        </w:rPr>
        <w:t>chir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afaka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atao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0"/>
          <w:numId w:val="83"/>
        </w:numPr>
      </w:pPr>
      <w:r>
        <w:rPr>
          <w:rFonts w:ascii="Times New Roman" w:hAnsi="Times New Roman"/>
        </w:rPr>
        <w:t>Diagnostic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>Incoagulabilité du sang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>Aptitude à rendre un sang témoin incoagulable ou à lyser un caillot formé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 xml:space="preserve">Lyse accélérée des </w:t>
      </w:r>
      <w:r>
        <w:rPr>
          <w:rFonts w:ascii="Times New Roman" w:hAnsi="Times New Roman"/>
        </w:rPr>
        <w:t>euglobulines</w:t>
      </w:r>
      <w:r>
        <w:rPr>
          <w:rFonts w:ascii="Times New Roman" w:hAnsi="Times New Roman"/>
        </w:rPr>
        <w:t xml:space="preserve"> : test de von </w:t>
      </w:r>
      <w:r>
        <w:rPr>
          <w:rFonts w:ascii="Times New Roman" w:hAnsi="Times New Roman"/>
        </w:rPr>
        <w:t>Kaulla</w:t>
      </w:r>
      <w:r>
        <w:rPr>
          <w:rFonts w:ascii="Times New Roman" w:hAnsi="Times New Roman"/>
        </w:rPr>
        <w:t xml:space="preserve"> (temps de lyse </w:t>
      </w:r>
      <w:r>
        <w:rPr>
          <w:rFonts w:ascii="Symbol" w:hAnsi="Symbol"/>
        </w:rPr>
      </w:r>
      <w:r>
        <w:rPr>
          <w:rFonts w:ascii="Times New Roman" w:hAnsi="Times New Roman"/>
        </w:rPr>
        <w:t>3heures)</w:t>
      </w:r>
    </w:p>
    <w:p>
      <w:pPr>
        <w:numPr>
          <w:ilvl w:val="0"/>
          <w:numId w:val="83"/>
        </w:numPr>
      </w:pPr>
      <w:r>
        <w:rPr>
          <w:rFonts w:ascii="Times New Roman" w:hAnsi="Times New Roman"/>
        </w:rPr>
        <w:t>Traitement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>Substitutif</w:t>
      </w:r>
    </w:p>
    <w:p>
      <w:pPr>
        <w:numPr>
          <w:ilvl w:val="2"/>
          <w:numId w:val="83"/>
        </w:numPr>
      </w:pPr>
      <w:r>
        <w:rPr>
          <w:rFonts w:ascii="Times New Roman" w:hAnsi="Times New Roman"/>
        </w:rPr>
        <w:t>Sang total ou plasma</w:t>
      </w:r>
    </w:p>
    <w:p>
      <w:pPr>
        <w:numPr>
          <w:ilvl w:val="2"/>
          <w:numId w:val="83"/>
        </w:numPr>
      </w:pPr>
      <w:r>
        <w:rPr>
          <w:rFonts w:ascii="Times New Roman" w:hAnsi="Times New Roman"/>
        </w:rPr>
        <w:t>Fibrinogène</w:t>
      </w:r>
    </w:p>
    <w:p>
      <w:pPr>
        <w:numPr>
          <w:ilvl w:val="2"/>
          <w:numId w:val="83"/>
        </w:numPr>
      </w:pPr>
      <w:r>
        <w:rPr>
          <w:rFonts w:ascii="Times New Roman" w:hAnsi="Times New Roman"/>
        </w:rPr>
        <w:t>Fraction riche en fibrinogène</w:t>
      </w:r>
    </w:p>
    <w:p>
      <w:pPr>
        <w:numPr>
          <w:ilvl w:val="1"/>
          <w:numId w:val="83"/>
        </w:numPr>
      </w:pPr>
      <w:r>
        <w:rPr>
          <w:rFonts w:ascii="Times New Roman" w:hAnsi="Times New Roman"/>
        </w:rPr>
        <w:t>Antifibrinolytiques</w:t>
      </w:r>
    </w:p>
    <w:p>
      <w:pPr>
        <w:numPr>
          <w:ilvl w:val="2"/>
          <w:numId w:val="83"/>
        </w:numPr>
      </w:pPr>
      <w:r>
        <w:rPr>
          <w:rFonts w:ascii="Times New Roman" w:hAnsi="Times New Roman"/>
        </w:rPr>
        <w:t xml:space="preserve">Acide epsilon </w:t>
      </w:r>
      <w:r>
        <w:rPr>
          <w:rFonts w:ascii="Times New Roman" w:hAnsi="Times New Roman"/>
        </w:rPr>
        <w:t>aminocaproïque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Capramol</w:t>
      </w:r>
      <w:r>
        <w:rPr>
          <w:rFonts w:ascii="Times New Roman" w:hAnsi="Times New Roman"/>
        </w:rPr>
        <w:t xml:space="preserve">*) </w:t>
      </w:r>
    </w:p>
    <w:p>
      <w:pPr>
        <w:numPr>
          <w:ilvl w:val="2"/>
          <w:numId w:val="83"/>
        </w:numPr>
      </w:pPr>
      <w:r>
        <w:rPr>
          <w:rFonts w:ascii="Times New Roman" w:hAnsi="Times New Roman"/>
        </w:rPr>
        <w:t>Acide tranexamique (Exacyl*) : 10mg/kg</w:t>
      </w:r>
    </w:p>
    <w:p>
      <w:pPr>
        <w:numPr>
          <w:ilvl w:val="2"/>
          <w:numId w:val="83"/>
        </w:numPr>
      </w:pPr>
      <w:r>
        <w:rPr>
          <w:rFonts w:ascii="Times New Roman" w:hAnsi="Times New Roman"/>
        </w:rPr>
        <w:t>Antiplasmines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inhibiteur de Kuntz ou de Frey</w:t>
      </w:r>
    </w:p>
    <w:p>
      <w:pPr>
        <w:pStyle w:val="Heading2"/>
      </w:pPr>
      <w:r>
        <w:rPr/>
        <w:t>CIVD</w:t>
      </w:r>
    </w:p>
    <w:p>
      <w:pPr>
        <w:numPr>
          <w:ilvl w:val="0"/>
          <w:numId w:val="84"/>
        </w:numPr>
      </w:pPr>
      <w:r>
        <w:rPr>
          <w:rFonts w:ascii="Times New Roman" w:hAnsi="Times New Roman"/>
        </w:rPr>
        <w:t>Secondaire à une activation diffuse initiale de la coagulation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 xml:space="preserve">Consommation des facteurs de coagulation (Coagulopathie de consommation) 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 xml:space="preserve">Rencontrés surtout lors </w:t>
      </w:r>
      <w:r>
        <w:rPr>
          <w:rFonts w:ascii="Times New Roman" w:hAnsi="Times New Roman"/>
        </w:rPr>
        <w:t>de :</w:t>
      </w:r>
    </w:p>
    <w:p>
      <w:pPr>
        <w:numPr>
          <w:ilvl w:val="2"/>
          <w:numId w:val="84"/>
        </w:numPr>
      </w:pPr>
      <w:r>
        <w:rPr>
          <w:rFonts w:ascii="Times New Roman" w:hAnsi="Times New Roman"/>
        </w:rPr>
        <w:t>Septicémies</w:t>
      </w:r>
    </w:p>
    <w:p>
      <w:pPr>
        <w:numPr>
          <w:ilvl w:val="2"/>
          <w:numId w:val="84"/>
        </w:numPr>
      </w:pPr>
      <w:r>
        <w:rPr>
          <w:rFonts w:ascii="Times New Roman" w:hAnsi="Times New Roman"/>
        </w:rPr>
        <w:t>Choc endotoxinique</w:t>
      </w:r>
    </w:p>
    <w:p>
      <w:pPr>
        <w:numPr>
          <w:ilvl w:val="2"/>
          <w:numId w:val="84"/>
        </w:numPr>
      </w:pPr>
      <w:r>
        <w:rPr>
          <w:rFonts w:ascii="Times New Roman" w:hAnsi="Times New Roman"/>
        </w:rPr>
        <w:t>Cancer glandulaire, leucémie à promyélocytes, chirurgie prostatique ou utérine</w:t>
      </w:r>
    </w:p>
    <w:p>
      <w:pPr>
        <w:numPr>
          <w:ilvl w:val="0"/>
          <w:numId w:val="84"/>
        </w:numPr>
      </w:pPr>
      <w:r>
        <w:rPr>
          <w:rFonts w:ascii="Times New Roman" w:hAnsi="Times New Roman"/>
        </w:rPr>
        <w:t>Diagnostic évoqué devant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 xml:space="preserve">D-Dimères élevées, 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>Consommation excessive de facteurs de coagulation (</w:t>
      </w:r>
      <w:r>
        <w:rPr>
          <w:rFonts w:ascii="Times New Roman" w:hAnsi="Times New Roman"/>
          <w:i/>
        </w:rPr>
        <w:t xml:space="preserve">perturbation complète du bilan d'hémostase) 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>Chute rapide et récente de plaquettes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>Anurie (</w:t>
      </w:r>
      <w:r>
        <w:rPr>
          <w:rFonts w:ascii="Times New Roman" w:hAnsi="Times New Roman"/>
          <w:i/>
        </w:rPr>
        <w:t xml:space="preserve">défaillance d'organe, surtout rénale car Glomérule = capillaire, obstrué par les caillots...) </w:t>
      </w:r>
      <w:r>
        <w:rPr>
          <w:rFonts w:ascii="Times New Roman" w:hAnsi="Times New Roman"/>
        </w:rPr>
        <w:t>Traitement difficile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>Héparinothérapie</w:t>
      </w:r>
    </w:p>
    <w:p>
      <w:pPr>
        <w:numPr>
          <w:ilvl w:val="1"/>
          <w:numId w:val="84"/>
        </w:numPr>
      </w:pPr>
      <w:r>
        <w:rPr>
          <w:rFonts w:ascii="Times New Roman" w:hAnsi="Times New Roman"/>
        </w:rPr>
        <w:t xml:space="preserve">Traitement de la cause (infection, cancer...) </w:t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85"/>
        </w:numPr>
      </w:pPr>
      <w:r>
        <w:rPr>
          <w:rFonts w:ascii="Times New Roman" w:hAnsi="Times New Roman"/>
        </w:rPr>
        <w:t xml:space="preserve">MALADIES </w:t>
      </w:r>
      <w:r>
        <w:rPr>
          <w:rFonts w:ascii="Times New Roman" w:hAnsi="Times New Roman"/>
        </w:rPr>
        <w:t>HÉMORRAGIQUES :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>Maladies graves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>Risque hémorragique très important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>Pronostic vital rapidement en jeu</w:t>
      </w:r>
    </w:p>
    <w:p>
      <w:pPr>
        <w:numPr>
          <w:ilvl w:val="1"/>
          <w:numId w:val="85"/>
        </w:numPr>
      </w:pPr>
      <w:r>
        <w:rPr>
          <w:rFonts w:ascii="Times New Roman" w:hAnsi="Times New Roman"/>
        </w:rPr>
        <w:t>Traitement :</w:t>
      </w:r>
      <w:r>
        <w:rPr>
          <w:rFonts w:ascii="Times New Roman" w:hAnsi="Times New Roman"/>
          <w:b/>
        </w:rPr>
        <w:t xml:space="preserve"> substitution des facteurs manquants</w:t>
      </w:r>
    </w:p>
    <w:p>
      <w:pPr>
        <w:spacing w:line="259" w:lineRule="auto"/>
      </w:pPr>
      <w:r>
        <w:rPr>
          <w:rFonts w:ascii="Times New Roman" w:hAnsi="Times New Roman"/>
        </w:rPr>
      </w:r>
    </w:p>
    <w:p>
      <w:pPr/>
      <w:r>
        <w:rPr>
          <w:rFonts w:ascii="Times New Roman" w:hAnsi="Times New Roman"/>
        </w:rPr>
        <w:t xml:space="preserve">Dr </w:t>
      </w:r>
      <w:r>
        <w:rPr>
          <w:rFonts w:ascii="Times New Roman" w:hAnsi="Times New Roman"/>
        </w:rPr>
        <w:t>tantely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