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MALADIES THROMBOTIQUES</w:t>
      </w:r>
    </w:p>
    <w:p>
      <w:pPr>
        <w:pStyle w:val="Heading2"/>
      </w:pPr>
      <w:r>
        <w:rPr/>
        <w:t>Principes</w:t>
      </w:r>
    </w:p>
    <w:p>
      <w:pPr>
        <w:numPr>
          <w:ilvl w:val="0"/>
          <w:numId w:val="86"/>
        </w:numPr>
      </w:pPr>
      <w:r>
        <w:rPr>
          <w:rFonts w:ascii="Times New Roman" w:hAnsi="Times New Roman"/>
        </w:rPr>
        <w:t>Développement des thromboses</w:t>
      </w:r>
    </w:p>
    <w:p>
      <w:pPr>
        <w:numPr>
          <w:ilvl w:val="1"/>
          <w:numId w:val="86"/>
        </w:numPr>
      </w:pPr>
      <w:r>
        <w:rPr>
          <w:rFonts w:ascii="Times New Roman" w:hAnsi="Times New Roman"/>
        </w:rPr>
        <w:t>Phénomènes complexes mettant en jeu</w:t>
      </w:r>
    </w:p>
    <w:p>
      <w:pPr>
        <w:numPr>
          <w:ilvl w:val="2"/>
          <w:numId w:val="86"/>
        </w:numPr>
      </w:pPr>
      <w:r>
        <w:rPr>
          <w:rFonts w:ascii="Times New Roman" w:hAnsi="Times New Roman"/>
        </w:rPr>
        <w:t>Stase sanguine</w:t>
      </w:r>
    </w:p>
    <w:p>
      <w:pPr>
        <w:numPr>
          <w:ilvl w:val="2"/>
          <w:numId w:val="86"/>
        </w:numPr>
      </w:pPr>
      <w:r>
        <w:rPr>
          <w:rFonts w:ascii="Times New Roman" w:hAnsi="Times New Roman"/>
        </w:rPr>
        <w:t xml:space="preserve">Altération de la paroi </w:t>
      </w:r>
    </w:p>
    <w:p>
      <w:pPr>
        <w:numPr>
          <w:ilvl w:val="2"/>
          <w:numId w:val="86"/>
        </w:numPr>
      </w:pPr>
      <w:r>
        <w:rPr>
          <w:rFonts w:ascii="Times New Roman" w:hAnsi="Times New Roman"/>
        </w:rPr>
        <w:t>Hypercoagulabilité sanguine</w:t>
      </w:r>
    </w:p>
    <w:p>
      <w:pPr>
        <w:numPr>
          <w:ilvl w:val="1"/>
          <w:numId w:val="86"/>
        </w:numPr>
      </w:pPr>
      <w:r>
        <w:rPr>
          <w:rFonts w:ascii="Times New Roman" w:hAnsi="Times New Roman"/>
        </w:rPr>
        <w:t xml:space="preserve">Dans </w:t>
      </w:r>
      <w:r>
        <w:rPr>
          <w:rFonts w:ascii="Times New Roman" w:hAnsi="Times New Roman"/>
        </w:rPr>
        <w:t>les territoires veineuses</w:t>
      </w:r>
      <w:r>
        <w:rPr>
          <w:rFonts w:ascii="Times New Roman" w:hAnsi="Times New Roman"/>
        </w:rPr>
        <w:t xml:space="preserve"> ou artérielles</w:t>
      </w:r>
    </w:p>
    <w:p>
      <w:pPr/>
    </w:p>
    <w:p>
      <w:pPr>
        <w:numPr>
          <w:ilvl w:val="0"/>
          <w:numId w:val="87"/>
        </w:numPr>
      </w:pPr>
      <w:r>
        <w:rPr>
          <w:rFonts w:ascii="Times New Roman" w:hAnsi="Times New Roman"/>
          <w:b/>
        </w:rPr>
        <w:t>Thrombose artériel</w:t>
      </w:r>
    </w:p>
    <w:p>
      <w:pPr>
        <w:numPr>
          <w:ilvl w:val="1"/>
          <w:numId w:val="87"/>
        </w:numPr>
      </w:pPr>
      <w:r>
        <w:rPr>
          <w:rFonts w:ascii="Times New Roman" w:hAnsi="Times New Roman"/>
        </w:rPr>
        <w:t>Typiquement riche en plaquettes mais pauvre en fibrine</w:t>
      </w:r>
    </w:p>
    <w:p>
      <w:pPr>
        <w:numPr>
          <w:ilvl w:val="1"/>
          <w:numId w:val="87"/>
        </w:numPr>
      </w:pPr>
      <w:r>
        <w:rPr>
          <w:rFonts w:ascii="Times New Roman" w:hAnsi="Times New Roman"/>
        </w:rPr>
        <w:t>Se développe essentiellement au niveau des plaques d'athérome</w:t>
      </w:r>
    </w:p>
    <w:p>
      <w:pPr>
        <w:numPr>
          <w:ilvl w:val="2"/>
          <w:numId w:val="87"/>
        </w:numPr>
      </w:pPr>
      <w:r>
        <w:rPr>
          <w:rFonts w:ascii="Times New Roman" w:hAnsi="Times New Roman"/>
          <w:b/>
        </w:rPr>
        <w:t>Rupture et fissuration de la plaque</w:t>
      </w:r>
    </w:p>
    <w:p>
      <w:pPr>
        <w:numPr>
          <w:ilvl w:val="3"/>
          <w:numId w:val="87"/>
        </w:numPr>
      </w:pPr>
      <w:r>
        <w:rPr>
          <w:rFonts w:ascii="Times New Roman" w:hAnsi="Times New Roman"/>
        </w:rPr>
        <w:t xml:space="preserve">Mise en contact du sang, collagène et </w:t>
      </w:r>
      <w:r>
        <w:rPr>
          <w:rFonts w:ascii="Times New Roman" w:hAnsi="Times New Roman"/>
        </w:rPr>
        <w:t>vWF</w:t>
      </w:r>
    </w:p>
    <w:p>
      <w:pPr>
        <w:numPr>
          <w:ilvl w:val="3"/>
          <w:numId w:val="87"/>
        </w:numPr>
      </w:pPr>
      <w:r>
        <w:rPr>
          <w:rFonts w:ascii="Times New Roman" w:hAnsi="Times New Roman"/>
        </w:rPr>
        <w:t>Adhésion-activation des plaquettes</w:t>
      </w:r>
    </w:p>
    <w:p>
      <w:pPr>
        <w:numPr>
          <w:ilvl w:val="0"/>
          <w:numId w:val="87"/>
        </w:numPr>
      </w:pPr>
      <w:r>
        <w:rPr>
          <w:rFonts w:ascii="Times New Roman" w:hAnsi="Times New Roman"/>
          <w:b/>
        </w:rPr>
        <w:t>Thrombose veineux</w:t>
      </w:r>
    </w:p>
    <w:p>
      <w:pPr>
        <w:numPr>
          <w:ilvl w:val="1"/>
          <w:numId w:val="87"/>
        </w:numPr>
      </w:pPr>
      <w:r>
        <w:rPr>
          <w:rFonts w:ascii="Times New Roman" w:hAnsi="Times New Roman"/>
        </w:rPr>
        <w:t>Typiquement riche en fibrine et pauvre en plaquette</w:t>
      </w:r>
    </w:p>
    <w:p>
      <w:pPr>
        <w:numPr>
          <w:ilvl w:val="1"/>
          <w:numId w:val="87"/>
        </w:numPr>
      </w:pPr>
      <w:r>
        <w:rPr>
          <w:rFonts w:ascii="Times New Roman" w:hAnsi="Times New Roman"/>
        </w:rPr>
        <w:t>Se développe surtout dans le système veineux des membres inférieurs</w:t>
      </w:r>
    </w:p>
    <w:p>
      <w:pPr>
        <w:numPr>
          <w:ilvl w:val="1"/>
          <w:numId w:val="87"/>
        </w:numPr>
      </w:pPr>
      <w:r>
        <w:rPr>
          <w:rFonts w:ascii="Times New Roman" w:hAnsi="Times New Roman"/>
        </w:rPr>
        <w:t>Toute les localisations</w:t>
      </w:r>
      <w:r>
        <w:rPr>
          <w:rFonts w:ascii="Times New Roman" w:hAnsi="Times New Roman"/>
        </w:rPr>
        <w:t xml:space="preserve"> sont possibles</w:t>
      </w:r>
    </w:p>
    <w:p>
      <w:pPr>
        <w:numPr>
          <w:ilvl w:val="1"/>
          <w:numId w:val="87"/>
        </w:numPr>
      </w:pPr>
      <w:r>
        <w:rPr>
          <w:rFonts w:ascii="Times New Roman" w:hAnsi="Times New Roman"/>
        </w:rPr>
        <w:t>Toutes les veines de l'organisme peuvent être siège de thrombose</w:t>
      </w:r>
    </w:p>
    <w:p>
      <w:pPr>
        <w:numPr>
          <w:ilvl w:val="0"/>
          <w:numId w:val="87"/>
        </w:numPr>
      </w:pPr>
      <w:r>
        <w:rPr>
          <w:rFonts w:ascii="Times New Roman" w:hAnsi="Times New Roman"/>
          <w:b/>
        </w:rPr>
        <w:t>Facteurs favorisants</w:t>
      </w:r>
    </w:p>
    <w:p>
      <w:pPr>
        <w:numPr>
          <w:ilvl w:val="1"/>
          <w:numId w:val="87"/>
        </w:numPr>
      </w:pPr>
      <w:r>
        <w:rPr>
          <w:rFonts w:ascii="Times New Roman" w:hAnsi="Times New Roman"/>
          <w:b/>
        </w:rPr>
        <w:t>Facteurs acquis</w:t>
      </w:r>
    </w:p>
    <w:p>
      <w:pPr>
        <w:numPr>
          <w:ilvl w:val="2"/>
          <w:numId w:val="87"/>
        </w:numPr>
      </w:pPr>
      <w:r>
        <w:rPr>
          <w:rFonts w:ascii="Times New Roman" w:hAnsi="Times New Roman"/>
        </w:rPr>
        <w:t xml:space="preserve">Rôle important de la stase sanguine </w:t>
      </w:r>
    </w:p>
    <w:p>
      <w:pPr>
        <w:numPr>
          <w:ilvl w:val="3"/>
          <w:numId w:val="87"/>
        </w:numPr>
      </w:pPr>
      <w:r>
        <w:rPr>
          <w:rFonts w:ascii="Times New Roman" w:hAnsi="Times New Roman"/>
        </w:rPr>
        <w:t xml:space="preserve">(Immobilisation prolongée post-partum, post-opératoire, alitement) </w:t>
      </w:r>
    </w:p>
    <w:p>
      <w:pPr>
        <w:numPr>
          <w:ilvl w:val="3"/>
          <w:numId w:val="87"/>
        </w:numPr>
      </w:pPr>
      <w:r>
        <w:rPr>
          <w:rFonts w:ascii="Times New Roman" w:hAnsi="Times New Roman"/>
        </w:rPr>
        <w:t>Age, grossesse, cancer, contraception orale</w:t>
      </w:r>
    </w:p>
    <w:p>
      <w:pPr>
        <w:numPr>
          <w:ilvl w:val="1"/>
          <w:numId w:val="87"/>
        </w:numPr>
      </w:pPr>
      <w:r>
        <w:rPr>
          <w:rFonts w:ascii="Times New Roman" w:hAnsi="Times New Roman"/>
          <w:b/>
        </w:rPr>
        <w:t>Facteurs constitutionnels de la thrombophilie</w:t>
      </w:r>
    </w:p>
    <w:p>
      <w:pPr>
        <w:numPr>
          <w:ilvl w:val="2"/>
          <w:numId w:val="87"/>
        </w:numPr>
      </w:pPr>
      <w:r>
        <w:rPr>
          <w:rFonts w:ascii="Times New Roman" w:hAnsi="Times New Roman"/>
        </w:rPr>
        <w:t xml:space="preserve">Déficit constitutionnel quantitatifs et </w:t>
      </w:r>
      <w:r>
        <w:rPr>
          <w:rFonts w:ascii="Times New Roman" w:hAnsi="Times New Roman"/>
        </w:rPr>
        <w:t>qualitaifs</w:t>
      </w:r>
      <w:r>
        <w:rPr>
          <w:rFonts w:ascii="Times New Roman" w:hAnsi="Times New Roman"/>
        </w:rPr>
        <w:t xml:space="preserve"> en </w:t>
      </w:r>
      <w:r>
        <w:rPr>
          <w:rFonts w:ascii="Times New Roman" w:hAnsi="Times New Roman"/>
        </w:rPr>
        <w:t>inhibiters</w:t>
      </w:r>
      <w:r>
        <w:rPr>
          <w:rFonts w:ascii="Times New Roman" w:hAnsi="Times New Roman"/>
        </w:rPr>
        <w:t xml:space="preserve"> de la coagulation : Antithrombine III, Protéine S, protéine C</w:t>
      </w:r>
    </w:p>
    <w:p>
      <w:pPr>
        <w:numPr>
          <w:ilvl w:val="3"/>
          <w:numId w:val="87"/>
        </w:numPr>
      </w:pPr>
      <w:r>
        <w:rPr>
          <w:rFonts w:ascii="Times New Roman" w:hAnsi="Times New Roman"/>
        </w:rPr>
        <w:t>Perturbation de la régulation négative de la coagulation</w:t>
      </w:r>
    </w:p>
    <w:p>
      <w:pPr>
        <w:numPr>
          <w:ilvl w:val="2"/>
          <w:numId w:val="87"/>
        </w:numPr>
      </w:pPr>
      <w:r>
        <w:rPr>
          <w:rFonts w:ascii="Times New Roman" w:hAnsi="Times New Roman"/>
        </w:rPr>
        <w:t>Mutation G2021 OA du facteur II</w:t>
      </w:r>
    </w:p>
    <w:p>
      <w:pPr>
        <w:numPr>
          <w:ilvl w:val="3"/>
          <w:numId w:val="87"/>
        </w:numPr>
      </w:pPr>
      <w:r>
        <w:rPr>
          <w:rFonts w:ascii="Times New Roman" w:hAnsi="Times New Roman"/>
        </w:rPr>
        <w:t xml:space="preserve">Augmentation de la capacité à produire du thrombine </w:t>
      </w:r>
      <w:r>
        <w:rPr>
          <w:rFonts w:ascii="Times New Roman" w:hAnsi="Times New Roman"/>
          <w:i/>
        </w:rPr>
        <w:t xml:space="preserve">(accélération de la coagulation) </w:t>
      </w:r>
    </w:p>
    <w:p>
      <w:pPr>
        <w:numPr>
          <w:ilvl w:val="2"/>
          <w:numId w:val="87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anti-phospholipides</w:t>
      </w:r>
    </w:p>
    <w:p>
      <w:pPr>
        <w:numPr>
          <w:ilvl w:val="2"/>
          <w:numId w:val="87"/>
        </w:numPr>
      </w:pPr>
      <w:r>
        <w:rPr>
          <w:rFonts w:ascii="Times New Roman" w:hAnsi="Times New Roman"/>
        </w:rPr>
        <w:t>Hyperhomocystéinémie</w:t>
      </w:r>
    </w:p>
    <w:p>
      <w:pPr>
        <w:numPr>
          <w:ilvl w:val="3"/>
          <w:numId w:val="87"/>
        </w:numPr>
      </w:pPr>
      <w:r>
        <w:rPr>
          <w:rFonts w:ascii="Times New Roman" w:hAnsi="Times New Roman"/>
        </w:rPr>
        <w:t>Réduction des propriétés antithrombotiques de l'endothélium</w:t>
      </w:r>
    </w:p>
    <w:p>
      <w:pPr/>
    </w:p>
    <w:p>
      <w:pPr>
        <w:pStyle w:val="Heading2"/>
      </w:pPr>
      <w:r>
        <w:rPr/>
        <w:t>DIAGNOSTIC ETIOLOGIQUE DE LA THROMBOSE</w:t>
      </w:r>
    </w:p>
    <w:p>
      <w:pPr>
        <w:numPr>
          <w:ilvl w:val="0"/>
          <w:numId w:val="88"/>
        </w:numPr>
      </w:pPr>
      <w:r>
        <w:rPr>
          <w:rFonts w:ascii="Times New Roman" w:hAnsi="Times New Roman"/>
        </w:rPr>
        <w:t xml:space="preserve">Enquête hématologique (bilan de thrombophilie) </w:t>
      </w:r>
    </w:p>
    <w:p>
      <w:pPr>
        <w:numPr>
          <w:ilvl w:val="1"/>
          <w:numId w:val="88"/>
        </w:numPr>
      </w:pPr>
      <w:r>
        <w:rPr>
          <w:rFonts w:ascii="Times New Roman" w:hAnsi="Times New Roman"/>
        </w:rPr>
        <w:t>Complexe et couteux</w:t>
      </w:r>
    </w:p>
    <w:p>
      <w:pPr>
        <w:numPr>
          <w:ilvl w:val="1"/>
          <w:numId w:val="88"/>
        </w:numPr>
      </w:pPr>
      <w:r>
        <w:rPr>
          <w:rFonts w:ascii="Times New Roman" w:hAnsi="Times New Roman"/>
        </w:rPr>
        <w:t>Sujet en constante évolution</w:t>
      </w:r>
    </w:p>
    <w:p>
      <w:pPr>
        <w:numPr>
          <w:ilvl w:val="1"/>
          <w:numId w:val="88"/>
        </w:numPr>
      </w:pPr>
      <w:r>
        <w:rPr>
          <w:rFonts w:ascii="Times New Roman" w:hAnsi="Times New Roman"/>
        </w:rPr>
        <w:t>Héparine et AVK : faussent l'interprétation de certains éléments du bilan de thrombophilie</w:t>
      </w:r>
    </w:p>
    <w:p>
      <w:pPr/>
    </w:p>
    <w:p>
      <w:pPr>
        <w:numPr>
          <w:ilvl w:val="0"/>
          <w:numId w:val="88"/>
        </w:numPr>
      </w:pPr>
      <w:r>
        <w:rPr>
          <w:rFonts w:ascii="Times New Roman" w:hAnsi="Times New Roman"/>
        </w:rPr>
        <w:t>Le bilan de thrombophilie</w:t>
      </w:r>
    </w:p>
    <w:p>
      <w:pPr>
        <w:numPr>
          <w:ilvl w:val="0"/>
          <w:numId w:val="89"/>
        </w:numPr>
      </w:pPr>
      <w:r>
        <w:rPr>
          <w:rFonts w:ascii="Times New Roman" w:hAnsi="Times New Roman"/>
        </w:rPr>
        <w:t xml:space="preserve">Dosage de certains inhibiteurs physiologiques de la coagulation (antithrombine III, protéine C, protéine S) </w:t>
      </w:r>
    </w:p>
    <w:p>
      <w:pPr>
        <w:numPr>
          <w:ilvl w:val="0"/>
          <w:numId w:val="89"/>
        </w:numPr>
      </w:pPr>
      <w:r>
        <w:rPr>
          <w:rFonts w:ascii="Times New Roman" w:hAnsi="Times New Roman"/>
        </w:rPr>
        <w:t>Recherche d'un anticoagulant circulant</w:t>
      </w:r>
    </w:p>
    <w:p>
      <w:pPr>
        <w:numPr>
          <w:ilvl w:val="0"/>
          <w:numId w:val="89"/>
        </w:numPr>
      </w:pPr>
      <w:r>
        <w:rPr>
          <w:rFonts w:ascii="Times New Roman" w:hAnsi="Times New Roman"/>
        </w:rPr>
        <w:t>Recherche de mutations thrombogènes fréquentes</w:t>
      </w:r>
    </w:p>
    <w:p>
      <w:pPr>
        <w:numPr>
          <w:ilvl w:val="1"/>
          <w:numId w:val="89"/>
        </w:numPr>
      </w:pPr>
      <w:r>
        <w:rPr>
          <w:rFonts w:ascii="Times New Roman" w:hAnsi="Times New Roman"/>
        </w:rPr>
        <w:t xml:space="preserve">Facteur V Leiden (résistance à la protéine C activée) </w:t>
      </w:r>
    </w:p>
    <w:p>
      <w:pPr>
        <w:numPr>
          <w:ilvl w:val="1"/>
          <w:numId w:val="89"/>
        </w:numPr>
      </w:pPr>
      <w:r>
        <w:rPr>
          <w:rFonts w:ascii="Times New Roman" w:hAnsi="Times New Roman"/>
        </w:rPr>
        <w:t xml:space="preserve">Mutation au niveau du facteur II (Prothrombine) </w:t>
      </w:r>
    </w:p>
    <w:p>
      <w:pPr>
        <w:numPr>
          <w:ilvl w:val="0"/>
          <w:numId w:val="89"/>
        </w:numPr>
      </w:pPr>
      <w:r>
        <w:rPr>
          <w:rFonts w:ascii="Times New Roman" w:hAnsi="Times New Roman"/>
        </w:rPr>
        <w:t>Présence d'un syndrome myéloprolifératif</w:t>
      </w:r>
    </w:p>
    <w:p>
      <w:pPr>
        <w:numPr>
          <w:ilvl w:val="0"/>
          <w:numId w:val="89"/>
        </w:numPr>
      </w:pPr>
      <w:r>
        <w:rPr>
          <w:rFonts w:ascii="Times New Roman" w:hAnsi="Times New Roman"/>
          <w:b/>
        </w:rPr>
        <w:t>Sujets prioritaires à cette enquête :</w:t>
      </w:r>
    </w:p>
    <w:p>
      <w:pPr>
        <w:numPr>
          <w:ilvl w:val="1"/>
          <w:numId w:val="89"/>
        </w:numPr>
      </w:pPr>
      <w:r>
        <w:rPr>
          <w:rFonts w:ascii="Times New Roman" w:hAnsi="Times New Roman"/>
        </w:rPr>
        <w:t>Sujet jeune, sans cause évidente à la thrombose veineuse</w:t>
      </w:r>
    </w:p>
    <w:p>
      <w:pPr>
        <w:numPr>
          <w:ilvl w:val="1"/>
          <w:numId w:val="89"/>
        </w:numPr>
      </w:pPr>
      <w:r>
        <w:rPr>
          <w:rFonts w:ascii="Times New Roman" w:hAnsi="Times New Roman"/>
        </w:rPr>
        <w:t>Thromboses récidivantes en l'absence de situations favorisantes</w:t>
      </w:r>
    </w:p>
    <w:p>
      <w:pPr>
        <w:numPr>
          <w:ilvl w:val="1"/>
          <w:numId w:val="89"/>
        </w:numPr>
      </w:pPr>
      <w:r>
        <w:rPr>
          <w:rFonts w:ascii="Times New Roman" w:hAnsi="Times New Roman"/>
        </w:rPr>
        <w:t xml:space="preserve">Localisation insolite de la thrombose (sphère abdominale ; thrombophlébite </w:t>
      </w:r>
      <w:r>
        <w:rPr>
          <w:rFonts w:ascii="Times New Roman" w:hAnsi="Times New Roman"/>
          <w:i/>
        </w:rPr>
        <w:t xml:space="preserve">de l'artère mésentérique, veine cave...) </w:t>
      </w:r>
    </w:p>
    <w:p>
      <w:pPr>
        <w:numPr>
          <w:ilvl w:val="1"/>
          <w:numId w:val="89"/>
        </w:numPr>
      </w:pPr>
      <w:r>
        <w:rPr>
          <w:rFonts w:ascii="Times New Roman" w:hAnsi="Times New Roman"/>
        </w:rPr>
        <w:t>Thrombose précoce par contraception ou d'une hormonothérapie substitutive de la ménopause</w:t>
      </w:r>
    </w:p>
    <w:p>
      <w:pPr>
        <w:numPr>
          <w:ilvl w:val="1"/>
          <w:numId w:val="89"/>
        </w:numPr>
      </w:pPr>
      <w:r>
        <w:rPr>
          <w:rFonts w:ascii="Times New Roman" w:hAnsi="Times New Roman"/>
        </w:rPr>
        <w:t>Existence d'un contexte familial de thrombose</w:t>
      </w:r>
    </w:p>
    <w:p>
      <w:pPr/>
    </w:p>
    <w:p>
      <w:pPr>
        <w:pStyle w:val="Heading2"/>
      </w:pPr>
      <w:r>
        <w:rPr/>
        <w:t>MANIFESTATIONS CLINIQUES</w:t>
      </w:r>
    </w:p>
    <w:p>
      <w:pPr>
        <w:numPr>
          <w:ilvl w:val="0"/>
          <w:numId w:val="90"/>
        </w:numPr>
      </w:pPr>
      <w:r>
        <w:rPr>
          <w:rFonts w:ascii="Times New Roman" w:hAnsi="Times New Roman"/>
        </w:rPr>
        <w:t>En fonction du territoire thrombosé</w:t>
      </w:r>
    </w:p>
    <w:p>
      <w:pPr>
        <w:numPr>
          <w:ilvl w:val="1"/>
          <w:numId w:val="90"/>
        </w:numPr>
      </w:pPr>
      <w:r>
        <w:rPr>
          <w:rFonts w:ascii="Times New Roman" w:hAnsi="Times New Roman"/>
        </w:rPr>
        <w:t>Vaisseaux coronaires : précordialgies</w:t>
      </w:r>
    </w:p>
    <w:p>
      <w:pPr>
        <w:numPr>
          <w:ilvl w:val="1"/>
          <w:numId w:val="90"/>
        </w:numPr>
      </w:pPr>
      <w:r>
        <w:rPr>
          <w:rFonts w:ascii="Times New Roman" w:hAnsi="Times New Roman"/>
        </w:rPr>
        <w:t>Vaisseaux cérébraux : signes d'ischémie cérébrale selon le territoire atteint (hémiplégie, paraplégie, sans signe de localisation évident,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...) </w:t>
      </w:r>
    </w:p>
    <w:p>
      <w:pPr>
        <w:numPr>
          <w:ilvl w:val="1"/>
          <w:numId w:val="90"/>
        </w:numPr>
      </w:pPr>
      <w:r>
        <w:rPr>
          <w:rFonts w:ascii="Times New Roman" w:hAnsi="Times New Roman"/>
        </w:rPr>
        <w:t>Artère pulmonaire : embolie pulmonaire avec douleur thoracique, crachat hémoptoïque</w:t>
      </w:r>
    </w:p>
    <w:p>
      <w:pPr>
        <w:numPr>
          <w:ilvl w:val="1"/>
          <w:numId w:val="90"/>
        </w:numPr>
      </w:pPr>
      <w:r>
        <w:rPr>
          <w:rFonts w:ascii="Times New Roman" w:hAnsi="Times New Roman"/>
        </w:rPr>
        <w:t>Membres inférieurs</w:t>
      </w:r>
    </w:p>
    <w:p>
      <w:pPr>
        <w:numPr>
          <w:ilvl w:val="2"/>
          <w:numId w:val="90"/>
        </w:numPr>
      </w:pPr>
      <w:r>
        <w:rPr>
          <w:rFonts w:ascii="Times New Roman" w:hAnsi="Times New Roman"/>
        </w:rPr>
        <w:t xml:space="preserve">Veine : </w:t>
      </w:r>
      <w:r>
        <w:rPr>
          <w:rFonts w:ascii="Times New Roman" w:hAnsi="Times New Roman"/>
        </w:rPr>
        <w:t>œdème</w:t>
      </w:r>
    </w:p>
    <w:p>
      <w:pPr>
        <w:numPr>
          <w:ilvl w:val="2"/>
          <w:numId w:val="90"/>
        </w:numPr>
      </w:pPr>
      <w:r>
        <w:rPr>
          <w:rFonts w:ascii="Times New Roman" w:hAnsi="Times New Roman"/>
        </w:rPr>
        <w:t>Artère : claudication, douleur, ischémie</w:t>
      </w:r>
    </w:p>
    <w:p>
      <w:pPr/>
    </w:p>
    <w:p>
      <w:pPr>
        <w:pStyle w:val="Heading2"/>
      </w:pPr>
      <w:r>
        <w:rPr/>
        <w:t>IMAGERIE</w:t>
      </w:r>
    </w:p>
    <w:p>
      <w:pPr>
        <w:numPr>
          <w:ilvl w:val="0"/>
          <w:numId w:val="91"/>
        </w:numPr>
      </w:pPr>
      <w:r>
        <w:rPr>
          <w:rFonts w:ascii="Times New Roman" w:hAnsi="Times New Roman"/>
        </w:rPr>
        <w:t xml:space="preserve"> Radiographie avec visualisation de la </w:t>
      </w:r>
      <w:r>
        <w:rPr>
          <w:rFonts w:ascii="Times New Roman" w:hAnsi="Times New Roman"/>
        </w:rPr>
        <w:t>vascularisation :</w:t>
      </w:r>
      <w:r>
        <w:rPr>
          <w:rFonts w:ascii="Times New Roman" w:hAnsi="Times New Roman"/>
        </w:rPr>
        <w:t xml:space="preserve"> angiographie</w:t>
      </w:r>
    </w:p>
    <w:p>
      <w:pPr>
        <w:numPr>
          <w:ilvl w:val="0"/>
          <w:numId w:val="91"/>
        </w:numPr>
      </w:pPr>
      <w:r>
        <w:rPr>
          <w:rFonts w:ascii="Times New Roman" w:hAnsi="Times New Roman"/>
        </w:rPr>
        <w:t>Echodoppler des vaisseaux</w:t>
      </w:r>
    </w:p>
    <w:p>
      <w:pPr>
        <w:numPr>
          <w:ilvl w:val="0"/>
          <w:numId w:val="91"/>
        </w:numPr>
      </w:pPr>
      <w:r>
        <w:rPr>
          <w:rFonts w:ascii="Times New Roman" w:hAnsi="Times New Roman"/>
        </w:rPr>
        <w:t>Scanner</w:t>
      </w:r>
    </w:p>
    <w:p>
      <w:pPr>
        <w:numPr>
          <w:ilvl w:val="0"/>
          <w:numId w:val="91"/>
        </w:numPr>
      </w:pPr>
      <w:r>
        <w:rPr>
          <w:rFonts w:ascii="Times New Roman" w:hAnsi="Times New Roman"/>
        </w:rPr>
        <w:t>Les examens vont apprécier</w:t>
      </w:r>
    </w:p>
    <w:p>
      <w:pPr>
        <w:numPr>
          <w:ilvl w:val="1"/>
          <w:numId w:val="91"/>
        </w:numPr>
      </w:pPr>
      <w:r>
        <w:rPr>
          <w:rFonts w:ascii="Times New Roman" w:hAnsi="Times New Roman"/>
        </w:rPr>
        <w:t xml:space="preserve">Le vaisseau thrombosé (niveau du thrombose) </w:t>
      </w:r>
    </w:p>
    <w:p>
      <w:pPr>
        <w:numPr>
          <w:ilvl w:val="1"/>
          <w:numId w:val="91"/>
        </w:numPr>
      </w:pPr>
      <w:r>
        <w:rPr>
          <w:rFonts w:ascii="Times New Roman" w:hAnsi="Times New Roman"/>
        </w:rPr>
        <w:t>Volume du thrombus</w:t>
      </w:r>
    </w:p>
    <w:p>
      <w:pPr>
        <w:numPr>
          <w:ilvl w:val="1"/>
          <w:numId w:val="91"/>
        </w:numPr>
      </w:pPr>
      <w:r>
        <w:rPr>
          <w:rFonts w:ascii="Times New Roman" w:hAnsi="Times New Roman"/>
        </w:rPr>
        <w:t>Déplacement du thrombus</w:t>
      </w:r>
    </w:p>
    <w:p>
      <w:pPr>
        <w:numPr>
          <w:ilvl w:val="1"/>
          <w:numId w:val="91"/>
        </w:numPr>
      </w:pPr>
      <w:r>
        <w:rPr>
          <w:rFonts w:ascii="Times New Roman" w:hAnsi="Times New Roman"/>
        </w:rPr>
        <w:t>Territoire thrombosé</w:t>
      </w:r>
    </w:p>
    <w:p>
      <w:pPr/>
    </w:p>
    <w:p>
      <w:pPr>
        <w:pStyle w:val="Subtitle"/>
      </w:pPr>
      <w:r>
        <w:rPr/>
        <w:t>Le syndrome de CIVD (</w:t>
      </w:r>
      <w:r>
        <w:rPr/>
        <w:t>CIVD :</w:t>
      </w:r>
      <w:r>
        <w:rPr/>
        <w:t xml:space="preserve"> à la fois hémorragique et pathologie thrombotique) </w:t>
      </w:r>
    </w:p>
    <w:p>
      <w:pPr>
        <w:numPr>
          <w:ilvl w:val="0"/>
          <w:numId w:val="92"/>
        </w:numPr>
      </w:pPr>
      <w:r>
        <w:rPr>
          <w:rFonts w:ascii="Times New Roman" w:hAnsi="Times New Roman"/>
        </w:rPr>
        <w:t>Formation de multiples caillots dans tous les secteurs vasculaires</w:t>
      </w:r>
    </w:p>
    <w:p>
      <w:pPr>
        <w:numPr>
          <w:ilvl w:val="0"/>
          <w:numId w:val="92"/>
        </w:numPr>
      </w:pPr>
      <w:r>
        <w:rPr>
          <w:rFonts w:ascii="Times New Roman" w:hAnsi="Times New Roman"/>
        </w:rPr>
        <w:t>Secondaire à une activation diffuse initiale de la coagulation</w:t>
      </w:r>
    </w:p>
    <w:p>
      <w:pPr>
        <w:pStyle w:val="Heading2"/>
      </w:pPr>
      <w:r>
        <w:rPr/>
        <w:t>BIOLOGIE</w:t>
      </w:r>
    </w:p>
    <w:p>
      <w:pPr>
        <w:pStyle w:val="Heading3"/>
      </w:pPr>
      <w:r>
        <w:rPr/>
        <w:t>Signes de fibrinolyse secondaire</w:t>
      </w:r>
    </w:p>
    <w:p>
      <w:pPr>
        <w:numPr>
          <w:ilvl w:val="1"/>
          <w:numId w:val="93"/>
        </w:numPr>
      </w:pPr>
      <w:r>
        <w:rPr>
          <w:rFonts w:ascii="Times New Roman" w:hAnsi="Times New Roman"/>
        </w:rPr>
        <w:t>Présence de complexes solubles, PDF</w:t>
      </w:r>
    </w:p>
    <w:p>
      <w:pPr>
        <w:numPr>
          <w:ilvl w:val="1"/>
          <w:numId w:val="93"/>
        </w:numPr>
      </w:pPr>
      <w:r>
        <w:rPr>
          <w:rFonts w:ascii="Times New Roman" w:hAnsi="Times New Roman"/>
        </w:rPr>
        <w:t>D-Dimères élevés (</w:t>
      </w:r>
      <w:r>
        <w:rPr>
          <w:rFonts w:ascii="Times New Roman" w:hAnsi="Times New Roman"/>
          <w:i/>
        </w:rPr>
        <w:t xml:space="preserve">caillot formé, le phénomène de régulation hémostatique essaie de détruire ce caillot : D-Dimères élevés=activation de la coagulation, mais pas EP) </w:t>
      </w:r>
    </w:p>
    <w:p>
      <w:pPr>
        <w:numPr>
          <w:ilvl w:val="1"/>
          <w:numId w:val="93"/>
        </w:numPr>
      </w:pPr>
      <w:r>
        <w:rPr>
          <w:rFonts w:ascii="Times New Roman" w:hAnsi="Times New Roman"/>
        </w:rPr>
        <w:t xml:space="preserve">Temps de lyse des </w:t>
      </w:r>
      <w:r>
        <w:rPr>
          <w:rFonts w:ascii="Times New Roman" w:hAnsi="Times New Roman"/>
        </w:rPr>
        <w:t>euglobulines</w:t>
      </w:r>
      <w:r>
        <w:rPr>
          <w:rFonts w:ascii="Times New Roman" w:hAnsi="Times New Roman"/>
        </w:rPr>
        <w:t xml:space="preserve"> raccourci</w:t>
      </w:r>
    </w:p>
    <w:p>
      <w:pPr>
        <w:pStyle w:val="Heading3"/>
      </w:pPr>
      <w:r>
        <w:rPr/>
        <w:t>Baisse des inhibiteurs physiologiques de l'hémostase</w:t>
      </w:r>
    </w:p>
    <w:p>
      <w:pPr>
        <w:numPr>
          <w:ilvl w:val="1"/>
          <w:numId w:val="93"/>
        </w:numPr>
      </w:pPr>
      <w:r>
        <w:rPr>
          <w:rFonts w:ascii="Times New Roman" w:hAnsi="Times New Roman"/>
        </w:rPr>
        <w:t>Antithrombine II</w:t>
      </w:r>
    </w:p>
    <w:p>
      <w:pPr>
        <w:numPr>
          <w:ilvl w:val="1"/>
          <w:numId w:val="93"/>
        </w:numPr>
      </w:pPr>
      <w:r>
        <w:rPr>
          <w:rFonts w:ascii="Times New Roman" w:hAnsi="Times New Roman"/>
        </w:rPr>
        <w:t>Protéine C-Protéine S</w:t>
      </w:r>
    </w:p>
    <w:p>
      <w:pPr>
        <w:pStyle w:val="Heading3"/>
      </w:pPr>
      <w:r>
        <w:rPr/>
        <w:t>Défaut de fibrinolyse</w:t>
      </w:r>
    </w:p>
    <w:p>
      <w:pPr>
        <w:numPr>
          <w:ilvl w:val="1"/>
          <w:numId w:val="93"/>
        </w:numPr>
      </w:pPr>
      <w:r>
        <w:rPr>
          <w:rFonts w:ascii="Times New Roman" w:hAnsi="Times New Roman"/>
        </w:rPr>
        <w:t xml:space="preserve">Baisse du taux de </w:t>
      </w:r>
      <w:r>
        <w:rPr>
          <w:rFonts w:ascii="Times New Roman" w:hAnsi="Times New Roman"/>
        </w:rPr>
        <w:t>plasminogène</w:t>
      </w:r>
      <w:r>
        <w:rPr>
          <w:rFonts w:ascii="Times New Roman" w:hAnsi="Times New Roman"/>
          <w:i/>
        </w:rPr>
        <w:t xml:space="preserve"> (</w:t>
      </w:r>
      <w:r>
        <w:rPr>
          <w:rFonts w:ascii="Times New Roman" w:hAnsi="Times New Roman"/>
          <w:i/>
        </w:rPr>
        <w:t xml:space="preserve">la plasmine détruit la fibrine) </w:t>
      </w:r>
    </w:p>
    <w:p>
      <w:pPr/>
    </w:p>
    <w:p>
      <w:pPr>
        <w:pStyle w:val="Heading2"/>
      </w:pPr>
      <w:r>
        <w:rPr/>
        <w:t>TRAITEMENT</w:t>
      </w:r>
    </w:p>
    <w:p>
      <w:pPr/>
      <w:r>
        <w:rPr>
          <w:rFonts w:ascii="Times New Roman" w:hAnsi="Times New Roman"/>
          <w:i/>
        </w:rPr>
        <w:t xml:space="preserve">Les maladies thrombo-emboliques ne sont pas des maladies mais des complications (signes) </w:t>
      </w:r>
    </w:p>
    <w:p>
      <w:pPr/>
    </w:p>
    <w:p>
      <w:pPr>
        <w:numPr>
          <w:ilvl w:val="0"/>
          <w:numId w:val="94"/>
        </w:numPr>
      </w:pPr>
      <w:r>
        <w:rPr>
          <w:rFonts w:ascii="Times New Roman" w:hAnsi="Times New Roman"/>
        </w:rPr>
        <w:t>ANTITHROMBOTIQUES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À titre préventif</w:t>
      </w:r>
    </w:p>
    <w:p>
      <w:pPr>
        <w:numPr>
          <w:ilvl w:val="0"/>
          <w:numId w:val="94"/>
        </w:numPr>
      </w:pPr>
      <w:r>
        <w:rPr>
          <w:rFonts w:ascii="Times New Roman" w:hAnsi="Times New Roman"/>
        </w:rPr>
        <w:t>THROMBOLYTIQUE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>Pour lyser le caillot constitué</w:t>
      </w:r>
    </w:p>
    <w:p>
      <w:pPr/>
    </w:p>
    <w:p>
      <w:pPr>
        <w:pStyle w:val="Heading3"/>
      </w:pPr>
      <w:r>
        <w:rPr/>
        <w:t>TRAITEMENTS ANTITHROMBOTIQUES</w:t>
      </w:r>
      <w:r>
        <w:rPr/>
        <w:t xml:space="preserve"> </w:t>
      </w:r>
    </w:p>
    <w:p>
      <w:pPr>
        <w:numPr>
          <w:ilvl w:val="0"/>
          <w:numId w:val="95"/>
        </w:numPr>
      </w:pPr>
      <w:r>
        <w:rPr>
          <w:rFonts w:ascii="Times New Roman" w:hAnsi="Times New Roman"/>
        </w:rPr>
        <w:t xml:space="preserve">Les </w:t>
      </w:r>
      <w:r>
        <w:rPr>
          <w:rFonts w:ascii="Times New Roman" w:hAnsi="Times New Roman"/>
        </w:rPr>
        <w:t>antiagrégants</w:t>
      </w:r>
      <w:r>
        <w:rPr>
          <w:rFonts w:ascii="Times New Roman" w:hAnsi="Times New Roman"/>
        </w:rPr>
        <w:t xml:space="preserve"> plaquettaires (</w:t>
      </w:r>
      <w:r>
        <w:rPr>
          <w:rFonts w:ascii="Times New Roman" w:hAnsi="Times New Roman"/>
          <w:i/>
        </w:rPr>
        <w:t xml:space="preserve">hémostase primaire) </w:t>
      </w:r>
    </w:p>
    <w:p>
      <w:pPr>
        <w:numPr>
          <w:ilvl w:val="1"/>
          <w:numId w:val="95"/>
        </w:numPr>
      </w:pPr>
      <w:r>
        <w:rPr>
          <w:rFonts w:ascii="Times New Roman" w:hAnsi="Times New Roman"/>
        </w:rPr>
        <w:t>Aspirine</w:t>
      </w:r>
    </w:p>
    <w:p>
      <w:pPr>
        <w:numPr>
          <w:ilvl w:val="1"/>
          <w:numId w:val="95"/>
        </w:numPr>
      </w:pPr>
      <w:r>
        <w:rPr>
          <w:rFonts w:ascii="Times New Roman" w:hAnsi="Times New Roman"/>
        </w:rPr>
        <w:t>Clopidogrel</w:t>
      </w:r>
    </w:p>
    <w:p>
      <w:pPr>
        <w:numPr>
          <w:ilvl w:val="1"/>
          <w:numId w:val="95"/>
        </w:numPr>
      </w:pPr>
      <w:r>
        <w:rPr>
          <w:rFonts w:ascii="Times New Roman" w:hAnsi="Times New Roman"/>
        </w:rPr>
        <w:t xml:space="preserve">Antagoniste de </w:t>
      </w:r>
      <w:r>
        <w:rPr>
          <w:rFonts w:ascii="Times New Roman" w:hAnsi="Times New Roman"/>
        </w:rPr>
        <w:t>GPIIbIIIa</w:t>
      </w:r>
    </w:p>
    <w:p>
      <w:pPr>
        <w:numPr>
          <w:ilvl w:val="0"/>
          <w:numId w:val="95"/>
        </w:numPr>
      </w:pPr>
      <w:r>
        <w:rPr>
          <w:rFonts w:ascii="Times New Roman" w:hAnsi="Times New Roman"/>
        </w:rPr>
        <w:t>Les anticoagulants (</w:t>
      </w:r>
      <w:r>
        <w:rPr>
          <w:rFonts w:ascii="Times New Roman" w:hAnsi="Times New Roman"/>
          <w:i/>
        </w:rPr>
        <w:t xml:space="preserve">hémostase secondaire) </w:t>
      </w:r>
    </w:p>
    <w:p>
      <w:pPr>
        <w:numPr>
          <w:ilvl w:val="1"/>
          <w:numId w:val="95"/>
        </w:numPr>
      </w:pPr>
      <w:r>
        <w:rPr>
          <w:rFonts w:ascii="Times New Roman" w:hAnsi="Times New Roman"/>
        </w:rPr>
        <w:t>AVK</w:t>
      </w:r>
    </w:p>
    <w:p>
      <w:pPr>
        <w:numPr>
          <w:ilvl w:val="1"/>
          <w:numId w:val="95"/>
        </w:numPr>
      </w:pPr>
      <w:r>
        <w:rPr>
          <w:rFonts w:ascii="Times New Roman" w:hAnsi="Times New Roman"/>
        </w:rPr>
        <w:t>Héparines</w:t>
      </w:r>
    </w:p>
    <w:p>
      <w:pPr/>
    </w:p>
    <w:p>
      <w:pPr>
        <w:pStyle w:val="Heading3"/>
      </w:pPr>
      <w:r>
        <w:rPr/>
        <w:t xml:space="preserve">Les antiagrégants plaquettaires </w:t>
      </w:r>
    </w:p>
    <w:p>
      <w:pPr>
        <w:numPr>
          <w:ilvl w:val="1"/>
          <w:numId w:val="96"/>
        </w:numPr>
      </w:pPr>
      <w:r>
        <w:rPr>
          <w:rFonts w:ascii="Times New Roman" w:hAnsi="Times New Roman"/>
        </w:rPr>
        <w:t>Empêchent l'</w:t>
      </w:r>
      <w:r>
        <w:rPr>
          <w:rFonts w:ascii="Times New Roman" w:hAnsi="Times New Roman"/>
        </w:rPr>
        <w:t>agrégation</w:t>
      </w:r>
      <w:r>
        <w:rPr>
          <w:rFonts w:ascii="Times New Roman" w:hAnsi="Times New Roman"/>
        </w:rPr>
        <w:t xml:space="preserve"> des plaquettes et leur fixation sur les lésions endothéliales ou les </w:t>
      </w:r>
      <w:r>
        <w:rPr>
          <w:rFonts w:ascii="Times New Roman" w:hAnsi="Times New Roman"/>
        </w:rPr>
        <w:t>thrombi</w:t>
      </w:r>
      <w:r>
        <w:rPr>
          <w:rFonts w:ascii="Times New Roman" w:hAnsi="Times New Roman"/>
        </w:rPr>
        <w:t xml:space="preserve"> déjà formés (</w:t>
      </w:r>
      <w:r>
        <w:rPr>
          <w:rFonts w:ascii="Times New Roman" w:hAnsi="Times New Roman"/>
          <w:i/>
        </w:rPr>
        <w:t xml:space="preserve">adhésion et agrégation) </w:t>
      </w:r>
    </w:p>
    <w:p>
      <w:pPr>
        <w:numPr>
          <w:ilvl w:val="1"/>
          <w:numId w:val="96"/>
        </w:numPr>
      </w:pPr>
      <w:r>
        <w:rPr>
          <w:rFonts w:ascii="Times New Roman" w:hAnsi="Times New Roman"/>
        </w:rPr>
        <w:t>Utilisés surtout dans les thromboses artérielles</w:t>
      </w:r>
    </w:p>
    <w:p>
      <w:pPr>
        <w:numPr>
          <w:ilvl w:val="1"/>
          <w:numId w:val="96"/>
        </w:numPr>
      </w:pPr>
      <w:r>
        <w:rPr>
          <w:rFonts w:ascii="Times New Roman" w:hAnsi="Times New Roman"/>
        </w:rPr>
        <w:t>Contre-indications générales :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Les maladies hémorragiques constitutionnelles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L'insuffisance hépatocellulaire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Les antécédents d'ulcère gastro-duodénal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Les traitements anticoagulants</w:t>
      </w:r>
    </w:p>
    <w:p>
      <w:pPr>
        <w:pStyle w:val="Heading3"/>
      </w:pPr>
      <w:r>
        <w:rPr/>
        <w:t xml:space="preserve">Acide </w:t>
      </w:r>
      <w:r>
        <w:rPr/>
        <w:t>acétyl</w:t>
      </w:r>
      <w:r>
        <w:rPr/>
        <w:t xml:space="preserve"> salicylique (AAS) 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Aspirine, Aspégic*, Kardégic*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 xml:space="preserve">Bloque </w:t>
      </w:r>
      <w:r>
        <w:rPr>
          <w:rFonts w:ascii="Times New Roman" w:hAnsi="Times New Roman"/>
          <w:b/>
        </w:rPr>
        <w:t>irréversiblement</w:t>
      </w:r>
      <w:r>
        <w:rPr>
          <w:rFonts w:ascii="Times New Roman" w:hAnsi="Times New Roman"/>
        </w:rPr>
        <w:t xml:space="preserve"> les fonctions plaquettaires par inhibition de la cyclooxygénase</w:t>
      </w:r>
    </w:p>
    <w:p>
      <w:pPr>
        <w:numPr>
          <w:ilvl w:val="3"/>
          <w:numId w:val="96"/>
        </w:numPr>
      </w:pPr>
      <w:r>
        <w:rPr>
          <w:rFonts w:ascii="Times New Roman" w:hAnsi="Times New Roman"/>
          <w:b/>
        </w:rPr>
        <w:t>Effet antiagrégant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immédiat</w:t>
      </w:r>
      <w:r>
        <w:rPr>
          <w:rFonts w:ascii="Times New Roman" w:hAnsi="Times New Roman"/>
        </w:rPr>
        <w:t xml:space="preserve"> sur le pool plaquettaire et persistant le temps nécessaire à son renouvellement (</w:t>
      </w:r>
      <w:r>
        <w:rPr>
          <w:rFonts w:ascii="Times New Roman" w:hAnsi="Times New Roman"/>
          <w:i/>
        </w:rPr>
        <w:t>ddv</w:t>
      </w:r>
      <w:r>
        <w:rPr>
          <w:rFonts w:ascii="Times New Roman" w:hAnsi="Times New Roman"/>
          <w:i/>
        </w:rPr>
        <w:t xml:space="preserve"> plaquettes =5-7 jours) 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Effet antithrombotique démontré pour des doses allant de 30 à 1300mg/j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L'effet antiagrégant n'est pas dose dépendante, au contraire de la toxicité gastrique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Utilisation de faibles doses (75-320mg/</w:t>
      </w:r>
      <w:r>
        <w:rPr>
          <w:rFonts w:ascii="Times New Roman" w:hAnsi="Times New Roman"/>
        </w:rPr>
        <w:t>j) justifiée</w:t>
      </w:r>
      <w:r>
        <w:rPr>
          <w:rFonts w:ascii="Times New Roman" w:hAnsi="Times New Roman"/>
        </w:rPr>
        <w:t xml:space="preserve"> permettant un effet thérapeutique optimal</w:t>
      </w:r>
    </w:p>
    <w:p>
      <w:pPr>
        <w:numPr>
          <w:ilvl w:val="2"/>
          <w:numId w:val="96"/>
        </w:numPr>
      </w:pPr>
      <w:r>
        <w:rPr>
          <w:rFonts w:ascii="Times New Roman" w:hAnsi="Times New Roman"/>
          <w:b/>
        </w:rPr>
        <w:t xml:space="preserve">Les </w:t>
      </w:r>
      <w:r>
        <w:rPr>
          <w:rFonts w:ascii="Times New Roman" w:hAnsi="Times New Roman"/>
          <w:b/>
        </w:rPr>
        <w:t>thiénopyridines</w:t>
      </w:r>
      <w:r>
        <w:rPr>
          <w:rFonts w:ascii="Times New Roman" w:hAnsi="Times New Roman"/>
          <w:b/>
        </w:rPr>
        <w:t xml:space="preserve"> 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Ticlopidine</w:t>
      </w:r>
      <w:r>
        <w:rPr>
          <w:rFonts w:ascii="Times New Roman" w:hAnsi="Times New Roman"/>
        </w:rPr>
        <w:t xml:space="preserve">, Ticlid* et clopidogrel, Plavix* </w:t>
      </w:r>
      <w:r>
        <w:rPr>
          <w:rFonts w:ascii="Times New Roman" w:hAnsi="Times New Roman"/>
        </w:rPr>
        <w:t>Instaclop</w:t>
      </w:r>
      <w:r>
        <w:rPr>
          <w:rFonts w:ascii="Times New Roman" w:hAnsi="Times New Roman"/>
        </w:rPr>
        <w:t>*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Inhibent spécifiquement l'agrégation plaquettaire induite par l'ADP (</w:t>
      </w:r>
      <w:r>
        <w:rPr>
          <w:rFonts w:ascii="Times New Roman" w:hAnsi="Times New Roman"/>
          <w:i/>
        </w:rPr>
        <w:t xml:space="preserve">sec and </w:t>
      </w:r>
      <w:r>
        <w:rPr>
          <w:rFonts w:ascii="Times New Roman" w:hAnsi="Times New Roman"/>
          <w:i/>
        </w:rPr>
        <w:t>mne</w:t>
      </w:r>
      <w:r>
        <w:rPr>
          <w:rFonts w:ascii="Times New Roman" w:hAnsi="Times New Roman"/>
          <w:i/>
        </w:rPr>
        <w:t xml:space="preserve"> plaquettaire qui va assurer l'agrégation) 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 xml:space="preserve">En s'opposant à la liaison de l'ADP à son </w:t>
      </w:r>
      <w:r>
        <w:rPr>
          <w:rFonts w:ascii="Times New Roman" w:hAnsi="Times New Roman"/>
        </w:rPr>
        <w:t>récepteur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 xml:space="preserve">occupent les récepteurs de </w:t>
      </w:r>
      <w:r>
        <w:rPr>
          <w:rFonts w:ascii="Times New Roman" w:hAnsi="Times New Roman"/>
          <w:i/>
        </w:rPr>
        <w:t>l’ADP :</w:t>
      </w:r>
      <w:r>
        <w:rPr>
          <w:rFonts w:ascii="Times New Roman" w:hAnsi="Times New Roman"/>
          <w:i/>
        </w:rPr>
        <w:t xml:space="preserve"> il n'y a plus de reconnaissance entre les plaquettes) </w:t>
      </w:r>
    </w:p>
    <w:p>
      <w:pPr>
        <w:numPr>
          <w:ilvl w:val="2"/>
          <w:numId w:val="96"/>
        </w:numPr>
      </w:pPr>
      <w:r>
        <w:rPr>
          <w:rFonts w:ascii="Times New Roman" w:hAnsi="Times New Roman"/>
          <w:b/>
        </w:rPr>
        <w:t xml:space="preserve">Les antagonistes de la </w:t>
      </w:r>
      <w:r>
        <w:rPr>
          <w:rFonts w:ascii="Times New Roman" w:hAnsi="Times New Roman"/>
          <w:b/>
        </w:rPr>
        <w:t>GPIIbIIIa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Abciximab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Réopro</w:t>
      </w:r>
      <w:r>
        <w:rPr>
          <w:rFonts w:ascii="Times New Roman" w:hAnsi="Times New Roman"/>
        </w:rPr>
        <w:t>*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Eptifibatide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Integrilin</w:t>
      </w:r>
      <w:r>
        <w:rPr>
          <w:rFonts w:ascii="Times New Roman" w:hAnsi="Times New Roman"/>
        </w:rPr>
        <w:t>*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Tirofiban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Agrastat</w:t>
      </w:r>
      <w:r>
        <w:rPr>
          <w:rFonts w:ascii="Times New Roman" w:hAnsi="Times New Roman"/>
        </w:rPr>
        <w:t>*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 xml:space="preserve">Antagonistes, peptidiques ou non, dirigés contre la </w:t>
      </w:r>
      <w:r>
        <w:rPr>
          <w:rFonts w:ascii="Times New Roman" w:hAnsi="Times New Roman"/>
        </w:rPr>
        <w:t>GPIIbIIIa</w:t>
      </w:r>
    </w:p>
    <w:p>
      <w:pPr>
        <w:numPr>
          <w:ilvl w:val="5"/>
          <w:numId w:val="96"/>
        </w:numPr>
      </w:pPr>
      <w:r>
        <w:rPr>
          <w:rFonts w:ascii="Times New Roman" w:hAnsi="Times New Roman"/>
          <w:b/>
        </w:rPr>
        <w:t>(</w:t>
      </w:r>
      <w:r>
        <w:rPr>
          <w:rFonts w:ascii="Times New Roman" w:hAnsi="Times New Roman"/>
        </w:rPr>
        <w:t xml:space="preserve">La </w:t>
      </w:r>
      <w:r>
        <w:rPr>
          <w:rFonts w:ascii="Times New Roman" w:hAnsi="Times New Roman"/>
        </w:rPr>
        <w:t>GPIIbIIIa</w:t>
      </w:r>
      <w:r>
        <w:rPr>
          <w:rFonts w:ascii="Times New Roman" w:hAnsi="Times New Roman"/>
        </w:rPr>
        <w:t xml:space="preserve"> fixe le fibrinogène sur les plaquettes activées et permet l'agrégation des plaquettes) </w:t>
      </w:r>
    </w:p>
    <w:p>
      <w:pPr>
        <w:numPr>
          <w:ilvl w:val="3"/>
          <w:numId w:val="96"/>
        </w:numPr>
      </w:pPr>
      <w:r>
        <w:rPr>
          <w:rFonts w:ascii="Times New Roman" w:hAnsi="Times New Roman"/>
          <w:b/>
        </w:rPr>
        <w:t>Indications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Prévention de l'infarctus du myocarde précoce en cas d'angor instable ou IDM sans onde Q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Prévention des complication ischémiques aiguës au cours des angioplasties et stents coronaires (</w:t>
      </w:r>
      <w:r>
        <w:rPr>
          <w:rFonts w:ascii="Times New Roman" w:hAnsi="Times New Roman"/>
        </w:rPr>
        <w:t>abciximab</w:t>
      </w:r>
      <w:r>
        <w:rPr>
          <w:rFonts w:ascii="Times New Roman" w:hAnsi="Times New Roman"/>
        </w:rPr>
        <w:t xml:space="preserve">) </w:t>
      </w:r>
    </w:p>
    <w:p>
      <w:pPr>
        <w:pStyle w:val="Heading3"/>
      </w:pPr>
      <w:r>
        <w:rPr/>
        <w:t>LES ANTICOAGULANTS</w:t>
      </w:r>
    </w:p>
    <w:p>
      <w:pPr>
        <w:pStyle w:val="Heading4"/>
      </w:pPr>
      <w:r>
        <w:rPr/>
        <w:t xml:space="preserve">Les antivitamine K </w:t>
      </w:r>
    </w:p>
    <w:p>
      <w:pPr>
        <w:pStyle w:val="Heading5"/>
      </w:pPr>
      <w:r>
        <w:rPr/>
        <w:t xml:space="preserve">Mode d'action 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Bloque le cycle hépatique du métabolisme de la vitamine K (</w:t>
      </w:r>
      <w:r>
        <w:rPr>
          <w:rFonts w:ascii="Times New Roman" w:hAnsi="Times New Roman"/>
          <w:i/>
        </w:rPr>
        <w:t xml:space="preserve">inhibe la synthèse des </w:t>
      </w:r>
      <w:r>
        <w:rPr>
          <w:rFonts w:ascii="Times New Roman" w:hAnsi="Times New Roman"/>
          <w:i/>
        </w:rPr>
        <w:t>FdC</w:t>
      </w:r>
      <w:r>
        <w:rPr>
          <w:rFonts w:ascii="Times New Roman" w:hAnsi="Times New Roman"/>
          <w:i/>
        </w:rPr>
        <w:t xml:space="preserve"> vit K dépendant) 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Synthèse FII, VII, IX, X réduite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Activité fonctionnelle réduite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Formation de thrombine ralentie</w:t>
      </w:r>
    </w:p>
    <w:p>
      <w:pPr>
        <w:pStyle w:val="Heading5"/>
      </w:pPr>
      <w:r>
        <w:rPr/>
        <w:t>Différents types et modalités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Différents types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Dérivés de la coumarine, ex Sintrom*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Dérivés de l'indane dione, ex Previscan*</w:t>
      </w:r>
    </w:p>
    <w:p>
      <w:pPr>
        <w:numPr>
          <w:ilvl w:val="3"/>
          <w:numId w:val="96"/>
        </w:numPr>
      </w:pPr>
      <w:r>
        <w:rPr>
          <w:rFonts w:ascii="Times New Roman" w:hAnsi="Times New Roman"/>
          <w:b/>
        </w:rPr>
        <w:t xml:space="preserve">Par voie orale 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Grande variabilité interindividuelle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Posologie adaptée en fonction de l'INR (</w:t>
      </w:r>
      <w:r>
        <w:rPr>
          <w:rFonts w:ascii="Times New Roman" w:hAnsi="Times New Roman"/>
          <w:i/>
        </w:rPr>
        <w:t>expression en ration de TQ et Taux de Prothrombine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En moyenne 1 comprimé par jour, à la même heure (</w:t>
      </w:r>
      <w:r>
        <w:rPr>
          <w:rFonts w:ascii="Times New Roman" w:hAnsi="Times New Roman"/>
          <w:i/>
        </w:rPr>
        <w:t xml:space="preserve">préférer la prise au soir) </w:t>
      </w:r>
    </w:p>
    <w:p>
      <w:pPr>
        <w:pStyle w:val="Heading5"/>
      </w:pPr>
      <w:r>
        <w:rPr/>
        <w:t xml:space="preserve">Surveillance 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Proscrire les injections IM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Surveillance biologique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INR : mode d'expression standardisée du temps de Quick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Rythme de surveillance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 xml:space="preserve">48-72 </w:t>
      </w:r>
      <w:r>
        <w:rPr>
          <w:rFonts w:ascii="Times New Roman" w:hAnsi="Times New Roman"/>
        </w:rPr>
        <w:t>heures</w:t>
      </w:r>
      <w:r>
        <w:rPr>
          <w:rFonts w:ascii="Times New Roman" w:hAnsi="Times New Roman"/>
        </w:rPr>
        <w:t xml:space="preserve"> après début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Tous les 2 à 4 jours jusqu'à INR stable dans zone thérapeutique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Contrôles ultérieurs espacés (</w:t>
      </w:r>
      <w:r>
        <w:rPr>
          <w:rFonts w:ascii="Symbol" w:hAnsi="Symbol"/>
        </w:rPr>
      </w:r>
      <w:r>
        <w:rPr>
          <w:rFonts w:ascii="Times New Roman" w:hAnsi="Times New Roman"/>
          <w:b/>
        </w:rPr>
        <w:t xml:space="preserve">1 mois) </w:t>
      </w:r>
    </w:p>
    <w:p>
      <w:pPr>
        <w:numPr>
          <w:ilvl w:val="4"/>
          <w:numId w:val="96"/>
        </w:numPr>
      </w:pPr>
      <w:r>
        <w:rPr>
          <w:rFonts w:ascii="Times New Roman" w:hAnsi="Times New Roman"/>
          <w:i/>
        </w:rPr>
        <w:t>Risque :</w:t>
      </w:r>
      <w:r>
        <w:rPr>
          <w:rFonts w:ascii="Times New Roman" w:hAnsi="Times New Roman"/>
          <w:i/>
        </w:rPr>
        <w:t xml:space="preserve"> hémorragique, surdosage : aggravation de la thrombose</w:t>
      </w:r>
    </w:p>
    <w:p>
      <w:pPr>
        <w:pStyle w:val="Heading5"/>
      </w:pPr>
      <w:r>
        <w:rPr/>
        <w:t>AVK en relais à l'héparine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Débuter AVK 48h avant arrêt héparine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Commencer la surveillance de l'INR 48h après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Arrêter l'héparine quand INR stable</w:t>
      </w:r>
    </w:p>
    <w:p>
      <w:pPr>
        <w:pStyle w:val="Heading4"/>
      </w:pPr>
      <w:r>
        <w:rPr/>
        <w:t>L’Héparine</w:t>
      </w:r>
      <w:r>
        <w:rPr/>
        <w:t xml:space="preserve"> </w:t>
      </w:r>
    </w:p>
    <w:p>
      <w:pPr>
        <w:pStyle w:val="Heading5"/>
      </w:pPr>
      <w:r>
        <w:rPr/>
        <w:t>Formes thérapeutiques</w:t>
      </w:r>
    </w:p>
    <w:p>
      <w:pPr>
        <w:numPr>
          <w:ilvl w:val="3"/>
          <w:numId w:val="96"/>
        </w:numPr>
      </w:pPr>
      <w:r>
        <w:rPr>
          <w:rFonts w:ascii="Times New Roman" w:hAnsi="Times New Roman"/>
          <w:b/>
        </w:rPr>
        <w:t xml:space="preserve">Héparine standard ou non fractionnée (HNF) : </w:t>
      </w:r>
      <w:r>
        <w:rPr>
          <w:rFonts w:ascii="Times New Roman" w:hAnsi="Times New Roman"/>
        </w:rPr>
        <w:t xml:space="preserve">Héparine Choay*, Calciparine*) 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 xml:space="preserve">Catalyse l'inactivation rapide du </w:t>
      </w:r>
      <w:r>
        <w:rPr>
          <w:rFonts w:ascii="Times New Roman" w:hAnsi="Times New Roman"/>
        </w:rPr>
        <w:t>IIa</w:t>
      </w:r>
      <w:r>
        <w:rPr>
          <w:rFonts w:ascii="Times New Roman" w:hAnsi="Times New Roman"/>
        </w:rPr>
        <w:t xml:space="preserve"> et Xa par l'antithrombine (</w:t>
      </w:r>
      <w:r>
        <w:rPr>
          <w:rFonts w:ascii="Times New Roman" w:hAnsi="Times New Roman"/>
          <w:i/>
        </w:rPr>
        <w:t xml:space="preserve">fin de l'hémostase secondaire donc pas de formation de caillot) 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En perfusion continue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Ou en sous-cutanée, 2-3 injections/j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Complication : Thrombopénie Induite par l'Héparine (</w:t>
      </w:r>
      <w:r>
        <w:rPr>
          <w:rFonts w:ascii="Times New Roman" w:hAnsi="Times New Roman"/>
          <w:i/>
        </w:rPr>
        <w:t xml:space="preserve">inhibition de la PL4 par l'héparine qui est un facteur de croissance important pour les plaquettes) </w:t>
      </w:r>
    </w:p>
    <w:p>
      <w:pPr>
        <w:numPr>
          <w:ilvl w:val="3"/>
          <w:numId w:val="96"/>
        </w:numPr>
      </w:pPr>
      <w:r>
        <w:rPr>
          <w:rFonts w:ascii="Times New Roman" w:hAnsi="Times New Roman"/>
          <w:b/>
        </w:rPr>
        <w:t xml:space="preserve">Héparine de Bas Poids Moléculaire (HBPM) </w:t>
      </w:r>
      <w:r>
        <w:rPr>
          <w:rFonts w:ascii="Times New Roman" w:hAnsi="Times New Roman"/>
        </w:rPr>
        <w:t xml:space="preserve">PM </w:t>
      </w:r>
      <w:r>
        <w:rPr>
          <w:rFonts w:ascii="Times New Roman" w:hAnsi="Times New Roman"/>
        </w:rPr>
        <w:t>inf</w:t>
      </w:r>
      <w:r>
        <w:rPr>
          <w:rFonts w:ascii="Times New Roman" w:hAnsi="Times New Roman"/>
        </w:rPr>
        <w:t xml:space="preserve"> à 8KDa (Lovenox*, Fraxiparine*) 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Catalyse l'inactivation rapide du Xa par l'antithrombine (</w:t>
      </w:r>
      <w:r>
        <w:rPr>
          <w:rFonts w:ascii="Times New Roman" w:hAnsi="Times New Roman"/>
          <w:i/>
        </w:rPr>
        <w:t xml:space="preserve">donc plus spécifique) 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Meilleure biodisponibilité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Une injection en sous cutanée/j</w:t>
      </w:r>
    </w:p>
    <w:p>
      <w:pPr>
        <w:numPr>
          <w:ilvl w:val="3"/>
          <w:numId w:val="96"/>
        </w:numPr>
      </w:pPr>
      <w:r>
        <w:rPr>
          <w:rFonts w:ascii="Times New Roman" w:hAnsi="Times New Roman"/>
          <w:b/>
        </w:rPr>
        <w:t>Héparine synthétique</w:t>
      </w:r>
    </w:p>
    <w:p>
      <w:pPr>
        <w:pStyle w:val="Heading5"/>
      </w:pPr>
      <w:r>
        <w:rPr/>
        <w:t xml:space="preserve">SURVEILLANCE BIOLOGIQUE </w:t>
      </w:r>
    </w:p>
    <w:p>
      <w:pPr>
        <w:numPr>
          <w:ilvl w:val="3"/>
          <w:numId w:val="96"/>
        </w:numPr>
      </w:pPr>
      <w:r>
        <w:rPr>
          <w:rFonts w:ascii="Times New Roman" w:hAnsi="Times New Roman"/>
          <w:b/>
        </w:rPr>
        <w:t>HNF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TCA et ration (TCA malade/TCA témoin : 2-3)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>Héparinémie (qui va déterminer l'activité anti Xa) 0,3-0,6 anti Xa/ml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 xml:space="preserve">Taux de plaquettes (avant traitement, et au moins 2 fois par semaine) </w:t>
      </w:r>
    </w:p>
    <w:p>
      <w:pPr>
        <w:numPr>
          <w:ilvl w:val="3"/>
          <w:numId w:val="96"/>
        </w:numPr>
      </w:pPr>
      <w:r>
        <w:rPr>
          <w:rFonts w:ascii="Times New Roman" w:hAnsi="Times New Roman"/>
          <w:b/>
        </w:rPr>
        <w:t>HBPM</w:t>
      </w:r>
    </w:p>
    <w:p>
      <w:pPr>
        <w:numPr>
          <w:ilvl w:val="4"/>
          <w:numId w:val="96"/>
        </w:numPr>
      </w:pPr>
      <w:r>
        <w:rPr>
          <w:rFonts w:ascii="Times New Roman" w:hAnsi="Times New Roman"/>
        </w:rPr>
        <w:t xml:space="preserve">TCA INUTILE (aucun effet) </w:t>
      </w:r>
    </w:p>
    <w:p>
      <w:pPr>
        <w:numPr>
          <w:ilvl w:val="4"/>
          <w:numId w:val="96"/>
        </w:numPr>
      </w:pPr>
      <w:r>
        <w:rPr>
          <w:rFonts w:ascii="Times New Roman" w:hAnsi="Times New Roman"/>
          <w:b/>
        </w:rPr>
        <w:t>Activité anti Xa</w:t>
      </w:r>
    </w:p>
    <w:p>
      <w:pPr>
        <w:numPr>
          <w:ilvl w:val="5"/>
          <w:numId w:val="96"/>
        </w:numPr>
      </w:pPr>
      <w:r>
        <w:rPr>
          <w:rFonts w:ascii="Times New Roman" w:hAnsi="Times New Roman"/>
        </w:rPr>
        <w:t xml:space="preserve">OBÉSITÉ, sujet âgé, IR, risque hémorragique) </w:t>
      </w:r>
    </w:p>
    <w:p>
      <w:pPr>
        <w:pStyle w:val="Heading3"/>
      </w:pPr>
      <w:r>
        <w:rPr/>
        <w:t>TRAITEMENTS THROMBOLYTIQUES OU FIBRINOLYTIQUES</w:t>
      </w:r>
    </w:p>
    <w:p>
      <w:pPr>
        <w:pStyle w:val="Heading4"/>
      </w:pPr>
      <w:r>
        <w:rPr/>
        <w:t>Rôle et effet</w:t>
      </w:r>
    </w:p>
    <w:p>
      <w:pPr>
        <w:numPr>
          <w:ilvl w:val="1"/>
          <w:numId w:val="97"/>
        </w:numPr>
      </w:pPr>
      <w:r>
        <w:rPr>
          <w:rFonts w:ascii="Times New Roman" w:hAnsi="Times New Roman"/>
        </w:rPr>
        <w:t>Rôle :</w:t>
      </w:r>
      <w:r>
        <w:rPr>
          <w:rFonts w:ascii="Times New Roman" w:hAnsi="Times New Roman"/>
        </w:rPr>
        <w:t xml:space="preserve"> transformation du plasminogène en plasmine</w:t>
      </w:r>
    </w:p>
    <w:p>
      <w:pPr>
        <w:numPr>
          <w:ilvl w:val="1"/>
          <w:numId w:val="97"/>
        </w:numPr>
      </w:pPr>
      <w:r>
        <w:rPr>
          <w:rFonts w:ascii="Times New Roman" w:hAnsi="Times New Roman"/>
        </w:rPr>
        <w:t>Effet recherché</w:t>
      </w:r>
      <w:r>
        <w:rPr>
          <w:rFonts w:ascii="Times New Roman" w:hAnsi="Times New Roman"/>
        </w:rPr>
        <w:t xml:space="preserve"> : lyse</w:t>
      </w:r>
      <w:r>
        <w:rPr>
          <w:rFonts w:ascii="Times New Roman" w:hAnsi="Times New Roman"/>
        </w:rPr>
        <w:t xml:space="preserve"> de la fibrine du thrombus pathologique</w:t>
      </w:r>
    </w:p>
    <w:p>
      <w:pPr>
        <w:numPr>
          <w:ilvl w:val="1"/>
          <w:numId w:val="97"/>
        </w:numPr>
      </w:pPr>
      <w:r>
        <w:rPr>
          <w:rFonts w:ascii="Times New Roman" w:hAnsi="Times New Roman"/>
        </w:rPr>
        <w:t>Reperméabilisation rapide du vaisseau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Mais</w:t>
      </w:r>
      <w:r>
        <w:rPr>
          <w:rFonts w:ascii="Times New Roman" w:hAnsi="Times New Roman"/>
        </w:rPr>
        <w:t xml:space="preserve"> risque hémorragique </w:t>
      </w:r>
      <w:r>
        <w:rPr>
          <w:rFonts w:ascii="Times New Roman" w:hAnsi="Times New Roman"/>
        </w:rPr>
        <w:t>lié</w:t>
      </w:r>
      <w:r>
        <w:rPr>
          <w:rFonts w:ascii="Times New Roman" w:hAnsi="Times New Roman"/>
        </w:rPr>
        <w:t xml:space="preserve"> à la fibrinolyse du clou hémostatique) </w:t>
      </w:r>
    </w:p>
    <w:p>
      <w:pPr>
        <w:numPr>
          <w:ilvl w:val="2"/>
          <w:numId w:val="97"/>
        </w:numPr>
      </w:pPr>
      <w:r>
        <w:rPr>
          <w:rFonts w:ascii="Times New Roman" w:hAnsi="Times New Roman"/>
          <w:i/>
        </w:rPr>
        <w:t>TOUJOURS EN HOSPITALISATION, JAMAIS A DOMICILE</w:t>
      </w:r>
    </w:p>
    <w:p>
      <w:pPr>
        <w:pStyle w:val="Heading4"/>
      </w:pPr>
      <w:r>
        <w:rPr/>
        <w:t>Les thrombolytiques de première génération</w:t>
      </w:r>
    </w:p>
    <w:p>
      <w:pPr>
        <w:numPr>
          <w:ilvl w:val="1"/>
          <w:numId w:val="98"/>
        </w:numPr>
      </w:pPr>
      <w:r>
        <w:rPr>
          <w:rFonts w:ascii="Times New Roman" w:hAnsi="Times New Roman"/>
          <w:b/>
        </w:rPr>
        <w:t xml:space="preserve">La </w:t>
      </w:r>
      <w:r>
        <w:rPr>
          <w:rFonts w:ascii="Times New Roman" w:hAnsi="Times New Roman"/>
          <w:b/>
        </w:rPr>
        <w:t>streptokinase</w:t>
      </w:r>
      <w:r>
        <w:rPr>
          <w:rFonts w:ascii="Times New Roman" w:hAnsi="Times New Roman"/>
          <w:b/>
        </w:rPr>
        <w:t xml:space="preserve"> 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>Extraite à partir de cultures de streptocoques hémolytiques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>Protéine bactérienne possédant un pouvoir antigénique puissant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L'</w:t>
      </w:r>
      <w:r>
        <w:rPr>
          <w:rFonts w:ascii="Times New Roman" w:hAnsi="Times New Roman"/>
        </w:rPr>
        <w:t>anistreplase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Eminase</w:t>
      </w:r>
      <w:r>
        <w:rPr>
          <w:rFonts w:ascii="Times New Roman" w:hAnsi="Times New Roman"/>
        </w:rPr>
        <w:t>*(</w:t>
      </w:r>
      <w:r>
        <w:rPr>
          <w:rFonts w:ascii="Times New Roman" w:hAnsi="Times New Roman"/>
        </w:rPr>
        <w:t>streptokinase</w:t>
      </w:r>
      <w:r>
        <w:rPr>
          <w:rFonts w:ascii="Times New Roman" w:hAnsi="Times New Roman"/>
        </w:rPr>
        <w:t xml:space="preserve"> retard) 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L'urokinase, non antigénique</w:t>
      </w:r>
    </w:p>
    <w:p>
      <w:pPr>
        <w:pStyle w:val="Heading4"/>
      </w:pPr>
      <w:r>
        <w:rPr/>
        <w:t>Les thrombolytiques de 2ème génération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Protéines humaines produites par génie génétique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 xml:space="preserve">Plus </w:t>
      </w:r>
      <w:r>
        <w:rPr>
          <w:rFonts w:ascii="Times New Roman" w:hAnsi="Times New Roman"/>
        </w:rPr>
        <w:t>fibrinospécifiques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 xml:space="preserve">plus spécifique pour les caillots de fibrine) 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Grande affinité pour la fibrine du caillot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 xml:space="preserve">Moindre effet </w:t>
      </w:r>
      <w:r>
        <w:rPr>
          <w:rFonts w:ascii="Times New Roman" w:hAnsi="Times New Roman"/>
          <w:b/>
        </w:rPr>
        <w:t>fibrinogénolytique</w:t>
      </w:r>
      <w:r>
        <w:rPr>
          <w:rFonts w:ascii="Times New Roman" w:hAnsi="Times New Roman"/>
          <w:b/>
        </w:rPr>
        <w:t xml:space="preserve"> 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Pas de risque allergique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Mais plus coûteuses</w:t>
      </w:r>
    </w:p>
    <w:p>
      <w:pPr>
        <w:numPr>
          <w:ilvl w:val="2"/>
          <w:numId w:val="98"/>
        </w:numPr>
      </w:pPr>
      <w:r>
        <w:rPr>
          <w:rFonts w:ascii="Times New Roman" w:hAnsi="Times New Roman"/>
          <w:b/>
        </w:rPr>
        <w:t>Alteplase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Actilyse</w:t>
      </w:r>
      <w:r>
        <w:rPr>
          <w:rFonts w:ascii="Times New Roman" w:hAnsi="Times New Roman"/>
        </w:rPr>
        <w:t>) ou activateur tissulaire du plasminogène (</w:t>
      </w:r>
      <w:r>
        <w:rPr>
          <w:rFonts w:ascii="Times New Roman" w:hAnsi="Times New Roman"/>
        </w:rPr>
        <w:t>rtPA</w:t>
      </w:r>
      <w:r>
        <w:rPr>
          <w:rFonts w:ascii="Times New Roman" w:hAnsi="Times New Roman"/>
        </w:rPr>
        <w:t xml:space="preserve">) </w:t>
      </w:r>
    </w:p>
    <w:p>
      <w:pPr>
        <w:numPr>
          <w:ilvl w:val="3"/>
          <w:numId w:val="98"/>
        </w:numPr>
      </w:pPr>
      <w:r>
        <w:rPr>
          <w:rFonts w:ascii="Times New Roman" w:hAnsi="Times New Roman"/>
        </w:rPr>
        <w:t>Lyse plus rapidement le caillot que les thrombolytiques de 1ère génération</w:t>
      </w:r>
    </w:p>
    <w:p>
      <w:pPr>
        <w:numPr>
          <w:ilvl w:val="3"/>
          <w:numId w:val="98"/>
        </w:numPr>
      </w:pPr>
      <w:r>
        <w:rPr>
          <w:rFonts w:ascii="Times New Roman" w:hAnsi="Times New Roman"/>
        </w:rPr>
        <w:t>15mg en bolus, 0,75 mg/kg en infusion sur 30 minutes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 xml:space="preserve">La </w:t>
      </w:r>
      <w:r>
        <w:rPr>
          <w:rFonts w:ascii="Times New Roman" w:hAnsi="Times New Roman"/>
          <w:b/>
        </w:rPr>
        <w:t>retéplase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Rapilysine</w:t>
      </w:r>
      <w:r>
        <w:rPr>
          <w:rFonts w:ascii="Times New Roman" w:hAnsi="Times New Roman"/>
        </w:rPr>
        <w:t xml:space="preserve">) et la </w:t>
      </w:r>
      <w:r>
        <w:rPr>
          <w:rFonts w:ascii="Times New Roman" w:hAnsi="Times New Roman"/>
          <w:b/>
        </w:rPr>
        <w:t>tenectéplase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Metalyse</w:t>
      </w:r>
      <w:r>
        <w:rPr>
          <w:rFonts w:ascii="Times New Roman" w:hAnsi="Times New Roman"/>
        </w:rPr>
        <w:t xml:space="preserve">) </w:t>
      </w:r>
    </w:p>
    <w:p>
      <w:pPr>
        <w:numPr>
          <w:ilvl w:val="3"/>
          <w:numId w:val="98"/>
        </w:numPr>
      </w:pPr>
      <w:r>
        <w:rPr>
          <w:rFonts w:ascii="Times New Roman" w:hAnsi="Times New Roman"/>
        </w:rPr>
        <w:t xml:space="preserve">Variants du </w:t>
      </w:r>
      <w:r>
        <w:rPr>
          <w:rFonts w:ascii="Times New Roman" w:hAnsi="Times New Roman"/>
        </w:rPr>
        <w:t>rtPA</w:t>
      </w:r>
      <w:r>
        <w:rPr>
          <w:rFonts w:ascii="Times New Roman" w:hAnsi="Times New Roman"/>
        </w:rPr>
        <w:t xml:space="preserve"> permettant une administration intra-veineuse simplifiée en bolus</w:t>
      </w:r>
    </w:p>
    <w:p>
      <w:pPr>
        <w:numPr>
          <w:ilvl w:val="3"/>
          <w:numId w:val="98"/>
        </w:numPr>
      </w:pPr>
      <w:r>
        <w:rPr>
          <w:rFonts w:ascii="Times New Roman" w:hAnsi="Times New Roman"/>
        </w:rPr>
        <w:t>1,5 million d'unités en 90 minutes</w:t>
      </w:r>
    </w:p>
    <w:p>
      <w:pPr>
        <w:pStyle w:val="Heading4"/>
      </w:pPr>
      <w:r>
        <w:rPr/>
        <w:t>Indications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Traitement d'urgence du thrombus occlusif menaçant un organe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>IDM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>EP massive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>Thrombose de prothèse valvulaire mécanique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>Occlusion artérielle aigue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>Thrombolyse de l'infarctus cérébral ischémique</w:t>
      </w:r>
    </w:p>
    <w:p>
      <w:pPr>
        <w:numPr>
          <w:ilvl w:val="2"/>
          <w:numId w:val="98"/>
        </w:numPr>
      </w:pPr>
      <w:r>
        <w:rPr>
          <w:rFonts w:ascii="Times New Roman" w:hAnsi="Times New Roman"/>
          <w:i/>
        </w:rPr>
        <w:t xml:space="preserve">Toujours évaluer le patient, </w:t>
      </w:r>
      <w:r>
        <w:rPr>
          <w:rFonts w:ascii="Times New Roman" w:hAnsi="Times New Roman"/>
          <w:i/>
        </w:rPr>
        <w:t>traiment</w:t>
      </w:r>
      <w:r>
        <w:rPr>
          <w:rFonts w:ascii="Times New Roman" w:hAnsi="Times New Roman"/>
          <w:i/>
        </w:rPr>
        <w:t xml:space="preserve"> jamais systématique</w:t>
      </w:r>
    </w:p>
    <w:p>
      <w:pPr>
        <w:pStyle w:val="Heading4"/>
      </w:pPr>
      <w:r>
        <w:rPr/>
        <w:t>Effets secondaires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Hémorragies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>Majeures ou mineures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Réactions allergiques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 xml:space="preserve">Jusqu'à un état de choc </w:t>
      </w:r>
      <w:r>
        <w:rPr>
          <w:rFonts w:ascii="Times New Roman" w:hAnsi="Times New Roman"/>
        </w:rPr>
        <w:t>anaphylactique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collapsus cardio-vasculaire d'origine allergique</w:t>
      </w:r>
    </w:p>
    <w:p>
      <w:pPr>
        <w:pStyle w:val="Heading4"/>
      </w:pPr>
      <w:r>
        <w:rPr/>
        <w:t>Surveillance</w:t>
      </w:r>
    </w:p>
    <w:p>
      <w:pPr>
        <w:numPr>
          <w:ilvl w:val="1"/>
          <w:numId w:val="98"/>
        </w:numPr>
      </w:pPr>
      <w:r>
        <w:rPr>
          <w:rFonts w:ascii="Times New Roman" w:hAnsi="Times New Roman"/>
          <w:b/>
        </w:rPr>
        <w:t>Clinique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 xml:space="preserve">Evolution de la pathologie : </w:t>
      </w:r>
      <w:r>
        <w:rPr>
          <w:rFonts w:ascii="Times New Roman" w:hAnsi="Times New Roman"/>
          <w:i/>
        </w:rPr>
        <w:t>efficacité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 xml:space="preserve">Effets </w:t>
      </w:r>
      <w:r>
        <w:rPr>
          <w:rFonts w:ascii="Times New Roman" w:hAnsi="Times New Roman"/>
        </w:rPr>
        <w:t>secondaires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toxicité</w:t>
      </w:r>
    </w:p>
    <w:p>
      <w:pPr>
        <w:numPr>
          <w:ilvl w:val="1"/>
          <w:numId w:val="98"/>
        </w:numPr>
      </w:pPr>
      <w:r>
        <w:rPr>
          <w:rFonts w:ascii="Times New Roman" w:hAnsi="Times New Roman"/>
          <w:b/>
        </w:rPr>
        <w:t>Biologique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>Groupage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crainte d'un syndrome hémorragique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>Bilan de coagulation initial</w:t>
      </w:r>
    </w:p>
    <w:p>
      <w:pPr>
        <w:numPr>
          <w:ilvl w:val="2"/>
          <w:numId w:val="98"/>
        </w:numPr>
      </w:pPr>
      <w:r>
        <w:rPr>
          <w:rFonts w:ascii="Times New Roman" w:hAnsi="Times New Roman"/>
        </w:rPr>
        <w:t>TCA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