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POLYGLOBULIES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116"/>
        </w:numPr>
      </w:pPr>
      <w:r>
        <w:rPr>
          <w:rFonts w:ascii="Times New Roman" w:hAnsi="Times New Roman"/>
        </w:rPr>
        <w:t>Augmentation parallèle</w:t>
      </w:r>
    </w:p>
    <w:p>
      <w:pPr>
        <w:numPr>
          <w:ilvl w:val="2"/>
          <w:numId w:val="116"/>
        </w:numPr>
      </w:pPr>
      <w:r>
        <w:rPr>
          <w:rFonts w:ascii="Times New Roman" w:hAnsi="Times New Roman"/>
        </w:rPr>
        <w:t>Du nombre d'hématies par unité de volume</w:t>
      </w:r>
    </w:p>
    <w:p>
      <w:pPr>
        <w:numPr>
          <w:ilvl w:val="2"/>
          <w:numId w:val="116"/>
        </w:numPr>
      </w:pPr>
      <w:r>
        <w:rPr>
          <w:rFonts w:ascii="Times New Roman" w:hAnsi="Times New Roman"/>
        </w:rPr>
        <w:t>Du taux d'hémoglobine</w:t>
      </w:r>
    </w:p>
    <w:p>
      <w:pPr>
        <w:numPr>
          <w:ilvl w:val="2"/>
          <w:numId w:val="116"/>
        </w:numPr>
      </w:pPr>
      <w:r>
        <w:rPr>
          <w:rFonts w:ascii="Times New Roman" w:hAnsi="Times New Roman"/>
        </w:rPr>
        <w:t>Et de l'hématocrite</w:t>
      </w:r>
    </w:p>
    <w:p>
      <w:pPr>
        <w:numPr>
          <w:ilvl w:val="1"/>
          <w:numId w:val="116"/>
        </w:numPr>
      </w:pPr>
      <w:r>
        <w:rPr>
          <w:rFonts w:ascii="Times New Roman" w:hAnsi="Times New Roman"/>
        </w:rPr>
        <w:t>Fausses polyglobulies</w:t>
      </w:r>
    </w:p>
    <w:p>
      <w:pPr>
        <w:numPr>
          <w:ilvl w:val="2"/>
          <w:numId w:val="116"/>
        </w:numPr>
      </w:pPr>
      <w:r>
        <w:rPr>
          <w:rFonts w:ascii="Times New Roman" w:hAnsi="Times New Roman"/>
        </w:rPr>
        <w:t>A éliminer, donc recontrôler l'hémogramme</w:t>
      </w:r>
    </w:p>
    <w:p>
      <w:pPr>
        <w:numPr>
          <w:ilvl w:val="2"/>
          <w:numId w:val="116"/>
        </w:numPr>
      </w:pPr>
      <w:r>
        <w:rPr>
          <w:rFonts w:ascii="Times New Roman" w:hAnsi="Times New Roman"/>
        </w:rPr>
        <w:t>Secondaire à une hémoconcentration par déshydratation</w:t>
      </w:r>
    </w:p>
    <w:p>
      <w:pPr>
        <w:numPr>
          <w:ilvl w:val="2"/>
          <w:numId w:val="116"/>
        </w:numPr>
      </w:pPr>
      <w:r>
        <w:rPr>
          <w:rFonts w:ascii="Times New Roman" w:hAnsi="Times New Roman"/>
        </w:rPr>
        <w:t xml:space="preserve">Liée à d'autres situations </w:t>
      </w:r>
      <w:r>
        <w:rPr>
          <w:rFonts w:ascii="Times New Roman" w:hAnsi="Times New Roman"/>
          <w:i/>
        </w:rPr>
        <w:t>comme l'hypoxie</w:t>
      </w:r>
    </w:p>
    <w:p>
      <w:pPr>
        <w:pStyle w:val="Heading3"/>
      </w:pPr>
      <w:r>
        <w:rPr/>
        <w:t>ETIOLOGIES</w:t>
      </w:r>
    </w:p>
    <w:p>
      <w:pPr>
        <w:numPr>
          <w:ilvl w:val="1"/>
          <w:numId w:val="116"/>
        </w:numPr>
      </w:pPr>
      <w:r>
        <w:rPr>
          <w:rFonts w:ascii="Times New Roman" w:hAnsi="Times New Roman"/>
        </w:rPr>
        <w:t>Secondaire</w:t>
      </w:r>
    </w:p>
    <w:p>
      <w:pPr>
        <w:numPr>
          <w:ilvl w:val="2"/>
          <w:numId w:val="116"/>
        </w:numPr>
      </w:pPr>
      <w:r>
        <w:rPr>
          <w:rFonts w:ascii="Times New Roman" w:hAnsi="Times New Roman"/>
        </w:rPr>
        <w:t xml:space="preserve">À une situation hypoxique (sécrétion physiologique de l'EPO) </w:t>
      </w:r>
    </w:p>
    <w:p>
      <w:pPr>
        <w:numPr>
          <w:ilvl w:val="2"/>
          <w:numId w:val="116"/>
        </w:numPr>
      </w:pPr>
      <w:r>
        <w:rPr>
          <w:rFonts w:ascii="Times New Roman" w:hAnsi="Times New Roman"/>
        </w:rPr>
        <w:t>Pathologies</w:t>
      </w:r>
    </w:p>
    <w:p>
      <w:pPr>
        <w:numPr>
          <w:ilvl w:val="3"/>
          <w:numId w:val="116"/>
        </w:numPr>
      </w:pPr>
      <w:r>
        <w:rPr>
          <w:rFonts w:ascii="Times New Roman" w:hAnsi="Times New Roman"/>
        </w:rPr>
        <w:t xml:space="preserve">Insuffisance cardio-respiratoire (IRC, cardiopathies cyanogènes, tabagisme, apnée du sommeil) </w:t>
      </w:r>
    </w:p>
    <w:p>
      <w:pPr>
        <w:numPr>
          <w:ilvl w:val="2"/>
          <w:numId w:val="116"/>
        </w:numPr>
      </w:pPr>
      <w:r>
        <w:rPr>
          <w:rFonts w:ascii="Times New Roman" w:hAnsi="Times New Roman"/>
        </w:rPr>
        <w:t>Séjour en haute altitude</w:t>
      </w:r>
    </w:p>
    <w:p>
      <w:pPr>
        <w:numPr>
          <w:ilvl w:val="1"/>
          <w:numId w:val="116"/>
        </w:numPr>
      </w:pPr>
      <w:r>
        <w:rPr>
          <w:rFonts w:ascii="Times New Roman" w:hAnsi="Times New Roman"/>
        </w:rPr>
        <w:t>Tumeur secrétant de l'EPO (</w:t>
      </w:r>
      <w:r>
        <w:rPr>
          <w:rFonts w:ascii="Times New Roman" w:hAnsi="Times New Roman"/>
        </w:rPr>
        <w:t>hémangioblastome</w:t>
      </w:r>
      <w:r>
        <w:rPr>
          <w:rFonts w:ascii="Times New Roman" w:hAnsi="Times New Roman"/>
        </w:rPr>
        <w:t xml:space="preserve"> du cervelet, fibrome, tumeur du </w:t>
      </w:r>
      <w:r>
        <w:rPr>
          <w:rFonts w:ascii="Times New Roman" w:hAnsi="Times New Roman"/>
        </w:rPr>
        <w:t>rein...</w:t>
      </w:r>
      <w:r>
        <w:rPr>
          <w:rFonts w:ascii="Times New Roman" w:hAnsi="Times New Roman"/>
        </w:rPr>
        <w:t xml:space="preserve">) 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