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LEUCEMIE LYMPHOIDE CHRONIQUE</w:t>
      </w:r>
    </w:p>
    <w:p>
      <w:pPr>
        <w:pStyle w:val="Heading2"/>
      </w:pPr>
      <w:r>
        <w:rPr/>
        <w:t>DEFINITION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maligne anarchique de lymphocytes matures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 xml:space="preserve">Surtout les sujets âgés </w:t>
      </w:r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 xml:space="preserve">Début </w:t>
      </w:r>
      <w:r>
        <w:rPr/>
        <w:t>: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Insidieux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Adénopathies</w:t>
      </w:r>
      <w:r>
        <w:rPr>
          <w:rFonts w:ascii="Times New Roman" w:hAnsi="Times New Roman"/>
        </w:rPr>
        <w:t xml:space="preserve"> superficielles</w:t>
      </w:r>
    </w:p>
    <w:p>
      <w:pPr/>
    </w:p>
    <w:p>
      <w:pPr>
        <w:pStyle w:val="Heading3"/>
      </w:pPr>
      <w:r>
        <w:rPr/>
        <w:t>Phase d'état :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Adénopathies</w:t>
      </w:r>
      <w:r>
        <w:rPr>
          <w:rFonts w:ascii="Times New Roman" w:hAnsi="Times New Roman"/>
        </w:rPr>
        <w:t xml:space="preserve"> superficielles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 xml:space="preserve">Siège : généralisé, bilatéral et symétrique 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Volume :</w:t>
      </w:r>
      <w:r>
        <w:rPr>
          <w:rFonts w:ascii="Times New Roman" w:hAnsi="Times New Roman"/>
        </w:rPr>
        <w:t xml:space="preserve"> variable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 xml:space="preserve">Caractères non </w:t>
      </w:r>
      <w:r>
        <w:rPr>
          <w:rFonts w:ascii="Times New Roman" w:hAnsi="Times New Roman"/>
        </w:rPr>
        <w:t>inflammatoires :</w:t>
      </w:r>
      <w:r>
        <w:rPr>
          <w:rFonts w:ascii="Times New Roman" w:hAnsi="Times New Roman"/>
        </w:rPr>
        <w:t xml:space="preserve"> ferme, mobile, indolore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Evolution :</w:t>
      </w:r>
      <w:r>
        <w:rPr>
          <w:rFonts w:ascii="Times New Roman" w:hAnsi="Times New Roman"/>
        </w:rPr>
        <w:t xml:space="preserve"> chronique, sans suppuration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Adénopathies</w:t>
      </w:r>
      <w:r>
        <w:rPr>
          <w:rFonts w:ascii="Times New Roman" w:hAnsi="Times New Roman"/>
        </w:rPr>
        <w:t xml:space="preserve"> profondes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 xml:space="preserve">+/- troubles de </w:t>
      </w:r>
      <w:r>
        <w:rPr>
          <w:rFonts w:ascii="Times New Roman" w:hAnsi="Times New Roman"/>
        </w:rPr>
        <w:t>compression :</w:t>
      </w:r>
      <w:r>
        <w:rPr>
          <w:rFonts w:ascii="Times New Roman" w:hAnsi="Times New Roman"/>
        </w:rPr>
        <w:t xml:space="preserve"> constipation, sd cave sup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Augmentation du volume des autres organes </w:t>
      </w:r>
      <w:r>
        <w:rPr>
          <w:rFonts w:ascii="Times New Roman" w:hAnsi="Times New Roman"/>
        </w:rPr>
        <w:t xml:space="preserve">lymphoïdes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splénomégalie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>Localisations extra-</w:t>
      </w:r>
      <w:r>
        <w:rPr>
          <w:rFonts w:ascii="Times New Roman" w:hAnsi="Times New Roman"/>
        </w:rPr>
        <w:t>ganglionnaires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lymphocytaire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 xml:space="preserve">Cutanées 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Glandes salivaires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Hépatomégalie</w:t>
      </w:r>
    </w:p>
    <w:p>
      <w:pPr>
        <w:numPr>
          <w:ilvl w:val="1"/>
          <w:numId w:val="74"/>
        </w:numPr>
      </w:pPr>
      <w:r>
        <w:rPr>
          <w:rFonts w:ascii="Times New Roman" w:hAnsi="Times New Roman"/>
        </w:rPr>
        <w:t>Autres</w:t>
      </w:r>
    </w:p>
    <w:p>
      <w:pPr>
        <w:pStyle w:val="Heading3"/>
      </w:pPr>
      <w:r>
        <w:rPr/>
        <w:t>Evolution clinique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 xml:space="preserve">Etat général bien conservé 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 xml:space="preserve">Pas de fièvre 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>Evolution :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Lente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En 5 à 10 ans</w:t>
      </w:r>
    </w:p>
    <w:p>
      <w:pPr>
        <w:numPr>
          <w:ilvl w:val="1"/>
          <w:numId w:val="75"/>
        </w:numPr>
      </w:pPr>
      <w:r>
        <w:rPr>
          <w:rFonts w:ascii="Times New Roman" w:hAnsi="Times New Roman"/>
        </w:rPr>
        <w:t>Par poussées successives</w:t>
      </w:r>
    </w:p>
    <w:p>
      <w:pPr/>
    </w:p>
    <w:p>
      <w:pPr>
        <w:pStyle w:val="Heading3"/>
      </w:pPr>
      <w:r>
        <w:rPr/>
        <w:t>Complications (</w:t>
      </w:r>
      <w:r>
        <w:rPr>
          <w:i/>
        </w:rPr>
        <w:t>rare)</w:t>
      </w:r>
      <w:r>
        <w:rPr>
          <w:i/>
        </w:rPr>
        <w:t xml:space="preserve"> 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 xml:space="preserve">Localisations </w:t>
      </w:r>
      <w:r>
        <w:rPr>
          <w:rFonts w:ascii="Times New Roman" w:hAnsi="Times New Roman"/>
        </w:rPr>
        <w:t>viscérales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Digestives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Nerveuses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douleurs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Pleuropulmonaire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Rénales 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Atteinte immunitaire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Infections intercurrentes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Anémie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hémolytique</w:t>
      </w:r>
      <w:r>
        <w:rPr>
          <w:rFonts w:ascii="Times New Roman" w:hAnsi="Times New Roman"/>
        </w:rPr>
        <w:t xml:space="preserve"> à auto-anticorps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Cancer </w:t>
      </w:r>
      <w:r>
        <w:rPr>
          <w:rFonts w:ascii="Times New Roman" w:hAnsi="Times New Roman"/>
        </w:rPr>
        <w:t>épithélial</w:t>
      </w:r>
      <w:r>
        <w:rPr>
          <w:rFonts w:ascii="Times New Roman" w:hAnsi="Times New Roman"/>
        </w:rPr>
        <w:t xml:space="preserve"> ou sarcome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>Evolution terminale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Due à l'une de ces complications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 xml:space="preserve">Insuffisance </w:t>
      </w:r>
      <w:r>
        <w:rPr>
          <w:rFonts w:ascii="Times New Roman" w:hAnsi="Times New Roman"/>
        </w:rPr>
        <w:t>médullaire</w:t>
      </w:r>
      <w:r>
        <w:rPr>
          <w:rFonts w:ascii="Times New Roman" w:hAnsi="Times New Roman"/>
        </w:rPr>
        <w:t xml:space="preserve"> secondaire</w:t>
      </w:r>
    </w:p>
    <w:p>
      <w:pPr>
        <w:numPr>
          <w:ilvl w:val="1"/>
          <w:numId w:val="76"/>
        </w:numPr>
      </w:pPr>
      <w:r>
        <w:rPr>
          <w:rFonts w:ascii="Times New Roman" w:hAnsi="Times New Roman"/>
        </w:rPr>
        <w:t>Acutisation</w:t>
      </w:r>
    </w:p>
    <w:p>
      <w:pPr/>
    </w:p>
    <w:p>
      <w:pPr>
        <w:pStyle w:val="Heading2"/>
      </w:pPr>
      <w:r>
        <w:rPr/>
        <w:t>BIOLOGIE</w:t>
      </w:r>
    </w:p>
    <w:p>
      <w:pPr>
        <w:pStyle w:val="Heading3"/>
      </w:pPr>
      <w:r>
        <w:rPr/>
        <w:t xml:space="preserve">Dans le sang périphérique 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 xml:space="preserve">La </w:t>
      </w:r>
      <w:r>
        <w:rPr>
          <w:rFonts w:ascii="Times New Roman" w:hAnsi="Times New Roman"/>
        </w:rPr>
        <w:t>numération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Anémie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Hyperleucocytose à </w:t>
      </w:r>
      <w:r>
        <w:rPr>
          <w:rFonts w:ascii="Times New Roman" w:hAnsi="Times New Roman"/>
        </w:rPr>
        <w:t>prédominance</w:t>
      </w:r>
      <w:r>
        <w:rPr>
          <w:rFonts w:ascii="Times New Roman" w:hAnsi="Times New Roman"/>
        </w:rPr>
        <w:t xml:space="preserve"> lymphocytaire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Plaquettes +/- normales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La formule sanguine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Hyperlymphocytose +++ &gt;4000/mm3 chez l'adulte et &gt;10.000/mm3 chez l'enfant </w:t>
      </w:r>
      <w:r>
        <w:rPr>
          <w:rFonts w:ascii="Times New Roman" w:hAnsi="Times New Roman"/>
          <w:u w:val="single"/>
        </w:rPr>
        <w:t>sans signes infectieux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Lymphocytes monomorphes +/- normaux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Avec de rares formes jeunes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Avec ombres de </w:t>
      </w:r>
      <w:r>
        <w:rPr>
          <w:rFonts w:ascii="Times New Roman" w:hAnsi="Times New Roman"/>
        </w:rPr>
        <w:t>Gumprecht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(cellules </w:t>
      </w:r>
      <w:r>
        <w:rPr>
          <w:rFonts w:ascii="Times New Roman" w:hAnsi="Times New Roman"/>
        </w:rPr>
        <w:t>lysées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 xml:space="preserve">Les autres lignées 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Pourcentage diminué 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Mais de nombre absolu +/- normal</w:t>
      </w:r>
    </w:p>
    <w:p>
      <w:pPr>
        <w:numPr>
          <w:ilvl w:val="3"/>
          <w:numId w:val="77"/>
        </w:numPr>
      </w:pPr>
      <w:r>
        <w:rPr>
          <w:rFonts w:ascii="Times New Roman" w:hAnsi="Times New Roman"/>
          <w:i/>
        </w:rPr>
        <w:t xml:space="preserve">Hémogramme </w:t>
      </w:r>
      <w:r>
        <w:rPr>
          <w:rFonts w:ascii="Times New Roman" w:hAnsi="Times New Roman"/>
          <w:i/>
        </w:rPr>
        <w:t>: raisonner en nombre absolu</w:t>
      </w:r>
    </w:p>
    <w:p>
      <w:pPr>
        <w:pStyle w:val="Heading3"/>
      </w:pPr>
      <w:r>
        <w:rPr/>
        <w:t>Dans la moelle osseuse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Médullogramme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Moelle riche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Infiltration de lymphocyte (60-80%)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Megacaryocytes</w:t>
      </w:r>
      <w:r>
        <w:rPr>
          <w:rFonts w:ascii="Times New Roman" w:hAnsi="Times New Roman"/>
        </w:rPr>
        <w:t xml:space="preserve"> +/- normales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 xml:space="preserve">La biopsie médullaire 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Peu utile-&gt; îlots lymphocytaires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Monomorphes +/- normaux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Avec de rares formes jeunes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Immunophénotypage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Score de Matutes= 5</w:t>
      </w:r>
    </w:p>
    <w:p>
      <w:pPr>
        <w:numPr>
          <w:ilvl w:val="1"/>
          <w:numId w:val="77"/>
        </w:numPr>
      </w:pPr>
      <w:r>
        <w:rPr>
          <w:rFonts w:ascii="Times New Roman" w:hAnsi="Times New Roman"/>
        </w:rPr>
        <w:t>D'autres examens biologiques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La vitesse de sédimentation : augmenté 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>L'</w:t>
      </w:r>
      <w:r>
        <w:rPr>
          <w:rFonts w:ascii="Times New Roman" w:hAnsi="Times New Roman"/>
        </w:rPr>
        <w:t xml:space="preserve">uricémie </w:t>
      </w:r>
      <w:r>
        <w:rPr>
          <w:rFonts w:ascii="Times New Roman" w:hAnsi="Times New Roman"/>
        </w:rPr>
        <w:t xml:space="preserve">(hyper), </w:t>
      </w:r>
      <w:r>
        <w:rPr>
          <w:rFonts w:ascii="Times New Roman" w:hAnsi="Times New Roman"/>
        </w:rPr>
        <w:t>hyperkaliémie</w:t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77"/>
        </w:numPr>
      </w:pPr>
      <w:r>
        <w:rPr>
          <w:rFonts w:ascii="Times New Roman" w:hAnsi="Times New Roman"/>
        </w:rPr>
        <w:t xml:space="preserve">Modifications </w:t>
      </w:r>
      <w:r>
        <w:rPr>
          <w:rFonts w:ascii="Times New Roman" w:hAnsi="Times New Roman"/>
        </w:rPr>
        <w:t>immunologiques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anémie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hémolytique</w:t>
      </w:r>
      <w:r>
        <w:rPr>
          <w:rFonts w:ascii="Times New Roman" w:hAnsi="Times New Roman"/>
        </w:rPr>
        <w:t xml:space="preserve"> à autoanticorps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>Abstention thérapeutique : sans AEG, sans complication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 xml:space="preserve">Si formes </w:t>
      </w:r>
      <w:r>
        <w:rPr>
          <w:rFonts w:ascii="Times New Roman" w:hAnsi="Times New Roman"/>
        </w:rPr>
        <w:t>symptomatiques :</w:t>
      </w:r>
      <w:r>
        <w:rPr>
          <w:rFonts w:ascii="Times New Roman" w:hAnsi="Times New Roman"/>
        </w:rPr>
        <w:t xml:space="preserve"> insuffisance médullaire, </w:t>
      </w:r>
      <w:r>
        <w:rPr>
          <w:rFonts w:ascii="Times New Roman" w:hAnsi="Times New Roman"/>
        </w:rPr>
        <w:t>anémie</w:t>
      </w:r>
      <w:r>
        <w:rPr>
          <w:rFonts w:ascii="Times New Roman" w:hAnsi="Times New Roman"/>
        </w:rPr>
        <w:t xml:space="preserve"> auto-immune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(test de </w:t>
      </w:r>
      <w:r>
        <w:rPr>
          <w:rFonts w:ascii="Times New Roman" w:hAnsi="Times New Roman"/>
        </w:rPr>
        <w:t xml:space="preserve"> direct Ag GR, indirect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plasma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thrombopénie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adénopathies</w:t>
      </w:r>
      <w:r>
        <w:rPr>
          <w:rFonts w:ascii="Times New Roman" w:hAnsi="Times New Roman"/>
        </w:rPr>
        <w:t xml:space="preserve">+++ qui compriment les organes </w:t>
      </w:r>
      <w:r>
        <w:rPr>
          <w:rFonts w:ascii="Times New Roman" w:hAnsi="Times New Roman"/>
        </w:rPr>
        <w:t xml:space="preserve"> vaisseaux ou autres</w:t>
      </w:r>
    </w:p>
    <w:p>
      <w:pPr>
        <w:numPr>
          <w:ilvl w:val="1"/>
          <w:numId w:val="78"/>
        </w:numPr>
      </w:pPr>
      <w:r>
        <w:rPr>
          <w:rFonts w:ascii="Times New Roman" w:hAnsi="Times New Roman"/>
        </w:rPr>
        <w:t>Chlorambucil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chloraminophene</w:t>
      </w:r>
      <w:r>
        <w:rPr>
          <w:rFonts w:ascii="Times New Roman" w:hAnsi="Times New Roman"/>
        </w:rPr>
        <w:t>) : 0,1-0,2 mg/kg/J</w:t>
      </w:r>
    </w:p>
    <w:p>
      <w:pPr>
        <w:numPr>
          <w:ilvl w:val="1"/>
          <w:numId w:val="78"/>
        </w:numPr>
      </w:pPr>
      <w:r>
        <w:rPr>
          <w:rFonts w:ascii="Times New Roman" w:hAnsi="Times New Roman"/>
        </w:rPr>
        <w:t xml:space="preserve">Forme résistante ou sujet </w:t>
      </w:r>
      <w:r>
        <w:rPr>
          <w:rFonts w:ascii="Times New Roman" w:hAnsi="Times New Roman"/>
        </w:rPr>
        <w:t>jeune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Fludarabine</w:t>
      </w:r>
    </w:p>
    <w:p>
      <w:pPr>
        <w:numPr>
          <w:ilvl w:val="1"/>
          <w:numId w:val="78"/>
        </w:numPr>
      </w:pPr>
      <w:r>
        <w:rPr>
          <w:rFonts w:ascii="Times New Roman" w:hAnsi="Times New Roman"/>
        </w:rPr>
        <w:t xml:space="preserve">Ou </w:t>
      </w:r>
      <w:r>
        <w:rPr>
          <w:rFonts w:ascii="Times New Roman" w:hAnsi="Times New Roman"/>
        </w:rPr>
        <w:t>fludarabine</w:t>
      </w:r>
      <w:r>
        <w:rPr>
          <w:rFonts w:ascii="Times New Roman" w:hAnsi="Times New Roman"/>
        </w:rPr>
        <w:t xml:space="preserve"> + anti CD20 (</w:t>
      </w:r>
      <w:r>
        <w:rPr>
          <w:rFonts w:ascii="Times New Roman" w:hAnsi="Times New Roman"/>
        </w:rPr>
        <w:t>Mabthera</w:t>
      </w:r>
      <w:r>
        <w:rPr>
          <w:rFonts w:ascii="Times New Roman" w:hAnsi="Times New Roman"/>
        </w:rPr>
        <w:t xml:space="preserve">) 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 xml:space="preserve">Fréquence des infections virales ou bactérienne, faire EPP, si </w:t>
      </w:r>
      <w:r>
        <w:rPr>
          <w:rFonts w:ascii="Times New Roman" w:hAnsi="Times New Roman"/>
        </w:rPr>
        <w:t>: donner des immunoglobulines IV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 xml:space="preserve">Apparition de </w:t>
      </w:r>
      <w:r>
        <w:rPr>
          <w:rFonts w:ascii="Times New Roman" w:hAnsi="Times New Roman"/>
        </w:rPr>
        <w:t>prolymphocytes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risque d'</w:t>
      </w:r>
      <w:r>
        <w:rPr>
          <w:rFonts w:ascii="Times New Roman" w:hAnsi="Times New Roman"/>
        </w:rPr>
        <w:t>acutisation</w:t>
      </w:r>
    </w:p>
    <w:p>
      <w:pPr>
        <w:numPr>
          <w:ilvl w:val="0"/>
          <w:numId w:val="79"/>
        </w:numPr>
      </w:pPr>
      <w:r>
        <w:rPr>
          <w:rFonts w:ascii="Times New Roman" w:hAnsi="Times New Roman"/>
        </w:rPr>
        <w:t>Le plus redoutable</w:t>
      </w:r>
      <w:r>
        <w:rPr>
          <w:rFonts w:ascii="Times New Roman" w:hAnsi="Times New Roman"/>
        </w:rPr>
        <w:t>: Syndrome de Richter</w:t>
      </w:r>
      <w:r>
        <w:rPr>
          <w:rFonts w:ascii="Times New Roman" w:hAnsi="Times New Roman"/>
        </w:rPr>
        <w:t>(transformation LMC en lymphome B diffus agressif à grandes cellules)</w:t>
      </w:r>
    </w:p>
    <w:p>
      <w:pPr>
        <w:spacing w:line="480" w:lineRule="auto"/>
      </w:pPr>
    </w:p>
    <w:p>
      <w:pPr/>
      <w:r>
        <w:rPr>
          <w:rFonts w:ascii="Times New Roman" w:hAnsi="Times New Roman"/>
          <w:b/>
        </w:rPr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