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LEUCEMIE MYELOIDE CHRONIQUE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 xml:space="preserve">Syndrome </w:t>
      </w:r>
      <w:r>
        <w:rPr>
          <w:rFonts w:ascii="Times New Roman" w:hAnsi="Times New Roman"/>
        </w:rPr>
        <w:t xml:space="preserve">myéloprolifératif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prolifération</w:t>
      </w:r>
      <w:r>
        <w:rPr>
          <w:rFonts w:ascii="Times New Roman" w:hAnsi="Times New Roman"/>
        </w:rPr>
        <w:t xml:space="preserve"> de la </w:t>
      </w:r>
      <w:r>
        <w:rPr>
          <w:rFonts w:ascii="Times New Roman" w:hAnsi="Times New Roman"/>
        </w:rPr>
        <w:t>lignée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myéloïde</w:t>
      </w:r>
      <w:r>
        <w:rPr>
          <w:rFonts w:ascii="Times New Roman" w:hAnsi="Times New Roman"/>
        </w:rPr>
        <w:t xml:space="preserve">) 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 xml:space="preserve">Intéressant </w:t>
      </w:r>
      <w:r>
        <w:rPr>
          <w:rFonts w:ascii="Times New Roman" w:hAnsi="Times New Roman"/>
          <w:b/>
        </w:rPr>
        <w:t>la lignée granulocytaire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Caractérisée par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Une translocation chromosomique 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(9,22) résultat : Chr Philadelphie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Et une anomalie moléculaire spécifique </w:t>
      </w:r>
      <w:r>
        <w:rPr>
          <w:rFonts w:ascii="Times New Roman" w:hAnsi="Times New Roman"/>
        </w:rPr>
        <w:t>bcr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abl</w:t>
      </w:r>
      <w:r>
        <w:rPr>
          <w:rFonts w:ascii="Times New Roman" w:hAnsi="Times New Roman"/>
        </w:rPr>
        <w:t xml:space="preserve"> 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C'est une </w:t>
      </w:r>
      <w:r>
        <w:rPr>
          <w:rFonts w:ascii="Times New Roman" w:hAnsi="Times New Roman"/>
          <w:b/>
        </w:rPr>
        <w:t xml:space="preserve">affection due à une </w:t>
      </w:r>
      <w:r>
        <w:rPr>
          <w:rFonts w:ascii="Times New Roman" w:hAnsi="Times New Roman"/>
          <w:b/>
        </w:rPr>
        <w:t>prolifération</w:t>
      </w:r>
      <w:r>
        <w:rPr>
          <w:rFonts w:ascii="Times New Roman" w:hAnsi="Times New Roman"/>
          <w:b/>
        </w:rPr>
        <w:t xml:space="preserve"> anarchique de cellules </w:t>
      </w:r>
      <w:r>
        <w:rPr>
          <w:rFonts w:ascii="Times New Roman" w:hAnsi="Times New Roman"/>
          <w:b/>
          <w:u w:val="single"/>
        </w:rPr>
        <w:t>myéloïdes</w:t>
      </w:r>
      <w:r>
        <w:rPr>
          <w:rFonts w:ascii="Times New Roman" w:hAnsi="Times New Roman"/>
          <w:b/>
        </w:rPr>
        <w:t xml:space="preserve"> souches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Evolution :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Spontanément fatale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Mais ayant </w:t>
      </w:r>
      <w:r>
        <w:rPr>
          <w:rFonts w:ascii="Times New Roman" w:hAnsi="Times New Roman"/>
        </w:rPr>
        <w:t>bénéficié</w:t>
      </w:r>
      <w:r>
        <w:rPr>
          <w:rFonts w:ascii="Times New Roman" w:hAnsi="Times New Roman"/>
        </w:rPr>
        <w:t xml:space="preserve"> d'une </w:t>
      </w:r>
      <w:r>
        <w:rPr>
          <w:rFonts w:ascii="Times New Roman" w:hAnsi="Times New Roman"/>
        </w:rPr>
        <w:t>évolution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thérapeutique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 xml:space="preserve">Donc </w:t>
      </w:r>
      <w:r>
        <w:rPr>
          <w:rFonts w:ascii="Times New Roman" w:hAnsi="Times New Roman"/>
        </w:rPr>
        <w:t>guérissable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A partir de 40 ans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>A Madagascar, survient chez l'adulte jeune(20-30ans), et parfois chez l'enfant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(le plus </w:t>
      </w:r>
      <w:r>
        <w:rPr>
          <w:rFonts w:ascii="Times New Roman" w:hAnsi="Times New Roman"/>
        </w:rPr>
        <w:t>jeune :</w:t>
      </w:r>
      <w:r>
        <w:rPr>
          <w:rFonts w:ascii="Times New Roman" w:hAnsi="Times New Roman"/>
        </w:rPr>
        <w:t xml:space="preserve"> 18 mois) </w:t>
      </w:r>
    </w:p>
    <w:p>
      <w:pPr>
        <w:numPr>
          <w:ilvl w:val="0"/>
          <w:numId w:val="63"/>
        </w:numPr>
      </w:pPr>
      <w:r>
        <w:rPr>
          <w:rFonts w:ascii="Times New Roman" w:hAnsi="Times New Roman"/>
        </w:rPr>
        <w:t xml:space="preserve">Evolue </w:t>
      </w:r>
      <w:r>
        <w:rPr>
          <w:rFonts w:ascii="Times New Roman" w:hAnsi="Times New Roman"/>
        </w:rPr>
        <w:t>schématiquement</w:t>
      </w:r>
      <w:r>
        <w:rPr>
          <w:rFonts w:ascii="Times New Roman" w:hAnsi="Times New Roman"/>
        </w:rPr>
        <w:t xml:space="preserve"> en 3 </w:t>
      </w:r>
      <w:r>
        <w:rPr>
          <w:rFonts w:ascii="Times New Roman" w:hAnsi="Times New Roman"/>
        </w:rPr>
        <w:t>phases :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Phase chronique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(production en excès de cellules matures) 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Phase d'accélération (</w:t>
      </w:r>
      <w:r>
        <w:rPr>
          <w:rFonts w:ascii="Times New Roman" w:hAnsi="Times New Roman"/>
        </w:rPr>
        <w:t>début</w:t>
      </w:r>
      <w:r>
        <w:rPr>
          <w:rFonts w:ascii="Times New Roman" w:hAnsi="Times New Roman"/>
        </w:rPr>
        <w:t xml:space="preserve"> de production de cellules immatures en </w:t>
      </w:r>
      <w:r>
        <w:rPr>
          <w:rFonts w:ascii="Times New Roman" w:hAnsi="Times New Roman"/>
        </w:rPr>
        <w:t>excès</w:t>
      </w:r>
      <w:r>
        <w:rPr>
          <w:rFonts w:ascii="Times New Roman" w:hAnsi="Times New Roman"/>
        </w:rPr>
        <w:t xml:space="preserve"> dans la moelle osseuse) </w:t>
      </w:r>
    </w:p>
    <w:p>
      <w:pPr>
        <w:numPr>
          <w:ilvl w:val="1"/>
          <w:numId w:val="63"/>
        </w:numPr>
      </w:pPr>
      <w:r>
        <w:rPr>
          <w:rFonts w:ascii="Times New Roman" w:hAnsi="Times New Roman"/>
        </w:rPr>
        <w:t>Phase d'</w:t>
      </w:r>
      <w:r>
        <w:rPr>
          <w:rFonts w:ascii="Times New Roman" w:hAnsi="Times New Roman"/>
        </w:rPr>
        <w:t>acutisation</w:t>
      </w:r>
      <w:r>
        <w:rPr>
          <w:rFonts w:ascii="Times New Roman" w:hAnsi="Times New Roman"/>
        </w:rPr>
        <w:t xml:space="preserve"> (s'est évolué en L.A: </w:t>
      </w:r>
      <w:r>
        <w:rPr>
          <w:rFonts w:ascii="Times New Roman" w:hAnsi="Times New Roman"/>
        </w:rPr>
        <w:t>prolifération</w:t>
      </w:r>
      <w:r>
        <w:rPr>
          <w:rFonts w:ascii="Times New Roman" w:hAnsi="Times New Roman"/>
        </w:rPr>
        <w:t xml:space="preserve"> de cellules immatures dans la moelle) </w:t>
      </w:r>
    </w:p>
    <w:p>
      <w:pPr>
        <w:pStyle w:val="Heading2"/>
      </w:pPr>
      <w:r>
        <w:rPr/>
        <w:t>Signes cliniques de la LMC (phase chronique)</w:t>
      </w:r>
      <w:r>
        <w:rPr/>
        <w:t xml:space="preserve"> 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>Début</w:t>
      </w:r>
      <w:r>
        <w:rPr>
          <w:rFonts w:ascii="Times New Roman" w:hAnsi="Times New Roman"/>
        </w:rPr>
        <w:t xml:space="preserve"> progressif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AEG : 3A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Troubles dyspeptiques banaux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(rot, nausée), sensation de pesanteur and HCG</w:t>
      </w:r>
    </w:p>
    <w:p>
      <w:pPr>
        <w:numPr>
          <w:ilvl w:val="0"/>
          <w:numId w:val="64"/>
        </w:numPr>
      </w:pPr>
      <w:r>
        <w:rPr>
          <w:rFonts w:ascii="Times New Roman" w:hAnsi="Times New Roman"/>
        </w:rPr>
        <w:t xml:space="preserve">Période d'état </w:t>
      </w:r>
    </w:p>
    <w:p>
      <w:pPr>
        <w:numPr>
          <w:ilvl w:val="1"/>
          <w:numId w:val="64"/>
        </w:numPr>
      </w:pPr>
      <w:r>
        <w:rPr>
          <w:rFonts w:ascii="Times New Roman" w:hAnsi="Times New Roman"/>
        </w:rPr>
        <w:t>AEG + majoration de la sensation de pesanteur</w:t>
      </w:r>
    </w:p>
    <w:p>
      <w:pPr>
        <w:numPr>
          <w:ilvl w:val="1"/>
          <w:numId w:val="64"/>
        </w:numPr>
      </w:pPr>
      <w:r>
        <w:rPr>
          <w:rFonts w:ascii="Times New Roman" w:hAnsi="Times New Roman"/>
          <w:u w:val="single"/>
        </w:rPr>
        <w:t>Splénomégalie</w:t>
      </w:r>
      <w:r>
        <w:rPr>
          <w:rFonts w:ascii="Times New Roman" w:hAnsi="Times New Roman"/>
          <w:u w:val="single"/>
        </w:rPr>
        <w:t xml:space="preserve"> +++</w:t>
      </w:r>
      <w:r>
        <w:rPr>
          <w:rFonts w:ascii="Times New Roman" w:hAnsi="Times New Roman"/>
          <w:u w:val="single"/>
        </w:rPr>
        <w:t xml:space="preserve"> </w:t>
      </w:r>
      <w:r>
        <w:rPr>
          <w:rFonts w:ascii="Times New Roman" w:hAnsi="Times New Roman"/>
        </w:rPr>
        <w:t xml:space="preserve">(pour </w:t>
      </w:r>
      <w:r>
        <w:rPr>
          <w:rFonts w:ascii="Times New Roman" w:hAnsi="Times New Roman"/>
        </w:rPr>
        <w:t>OD: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hémogramme</w:t>
      </w:r>
      <w:r>
        <w:rPr>
          <w:rFonts w:ascii="Times New Roman" w:hAnsi="Times New Roman"/>
        </w:rPr>
        <w:t xml:space="preserve">) </w:t>
      </w:r>
    </w:p>
    <w:p>
      <w:pPr>
        <w:pStyle w:val="Heading2"/>
      </w:pPr>
      <w:r>
        <w:rPr/>
        <w:t>Signes biologiques LMC (phase chronique)</w:t>
      </w:r>
      <w:r>
        <w:rPr/>
        <w:t xml:space="preserve"> </w:t>
      </w:r>
    </w:p>
    <w:p>
      <w:pPr/>
      <w:r>
        <w:rPr>
          <w:rFonts w:ascii="Times New Roman" w:hAnsi="Times New Roman"/>
          <w:i/>
        </w:rPr>
        <w:t xml:space="preserve">Confirme le diagnostic de LMC en 2 étapes </w:t>
      </w:r>
    </w:p>
    <w:p>
      <w:pPr>
        <w:numPr>
          <w:ilvl w:val="0"/>
          <w:numId w:val="65"/>
        </w:numPr>
      </w:pPr>
      <w:r>
        <w:rPr>
          <w:rFonts w:ascii="Times New Roman" w:hAnsi="Times New Roman"/>
          <w:b/>
        </w:rPr>
        <w:t xml:space="preserve">Syndrome </w:t>
      </w:r>
      <w:r>
        <w:rPr>
          <w:rFonts w:ascii="Times New Roman" w:hAnsi="Times New Roman"/>
          <w:b/>
        </w:rPr>
        <w:t>myéloprolifératif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>Hémogramme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 xml:space="preserve">Anémie modérée 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 xml:space="preserve">Hyperleucocytose considérable &gt;50G/l sans signe infectieux. (200-800G/l) 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>Hyperplaquettose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>Formule leucocytaire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 xml:space="preserve">Série granuleuse +++ : </w:t>
      </w:r>
      <w:r>
        <w:rPr>
          <w:rFonts w:ascii="Times New Roman" w:hAnsi="Times New Roman"/>
          <w:b/>
        </w:rPr>
        <w:t>Myélémie</w:t>
      </w:r>
      <w:r>
        <w:rPr>
          <w:rFonts w:ascii="Times New Roman" w:hAnsi="Times New Roman"/>
          <w:b/>
        </w:rPr>
        <w:t xml:space="preserve"> équilibrée (=</w:t>
      </w:r>
      <w:r>
        <w:rPr>
          <w:rFonts w:ascii="Times New Roman" w:hAnsi="Times New Roman"/>
          <w:b/>
        </w:rPr>
        <w:t>présence</w:t>
      </w:r>
      <w:r>
        <w:rPr>
          <w:rFonts w:ascii="Times New Roman" w:hAnsi="Times New Roman"/>
          <w:b/>
        </w:rPr>
        <w:t xml:space="preserve"> de tous les </w:t>
      </w:r>
      <w:r>
        <w:rPr>
          <w:rFonts w:ascii="Times New Roman" w:hAnsi="Times New Roman"/>
          <w:b/>
        </w:rPr>
        <w:t>précurseurs</w:t>
      </w:r>
      <w:r>
        <w:rPr>
          <w:rFonts w:ascii="Times New Roman" w:hAnsi="Times New Roman"/>
          <w:b/>
        </w:rPr>
        <w:t xml:space="preserve"> des </w:t>
      </w:r>
      <w:r>
        <w:rPr>
          <w:rFonts w:ascii="Times New Roman" w:hAnsi="Times New Roman"/>
          <w:b/>
        </w:rPr>
        <w:t>granulocytes :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>myélocyte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métamyélocyte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  <w:b/>
        </w:rPr>
        <w:t>promyélocyte</w:t>
      </w:r>
      <w:r>
        <w:rPr>
          <w:rFonts w:ascii="Times New Roman" w:hAnsi="Times New Roman"/>
          <w:b/>
        </w:rPr>
        <w:t xml:space="preserve"> et aussi les granulocytes PNN PNB PNE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>Tous les éléments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</w:rPr>
        <w:t xml:space="preserve">de la </w:t>
      </w:r>
      <w:r>
        <w:rPr>
          <w:rFonts w:ascii="Times New Roman" w:hAnsi="Times New Roman"/>
        </w:rPr>
        <w:t>lignée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myéloïde</w:t>
      </w:r>
    </w:p>
    <w:p>
      <w:pPr>
        <w:numPr>
          <w:ilvl w:val="2"/>
          <w:numId w:val="65"/>
        </w:numPr>
      </w:pPr>
      <w:r>
        <w:rPr>
          <w:rFonts w:ascii="Times New Roman" w:hAnsi="Times New Roman"/>
          <w:b/>
          <w:u w:val="single"/>
        </w:rPr>
        <w:t xml:space="preserve">Pas de hiatus </w:t>
      </w:r>
      <w:r>
        <w:rPr>
          <w:rFonts w:ascii="Times New Roman" w:hAnsi="Times New Roman"/>
          <w:b/>
          <w:u w:val="single"/>
        </w:rPr>
        <w:t xml:space="preserve">leucémique </w:t>
      </w:r>
      <w:r>
        <w:rPr>
          <w:rFonts w:ascii="Times New Roman" w:hAnsi="Times New Roman"/>
          <w:b/>
          <w:u w:val="single"/>
        </w:rPr>
        <w:t>:</w:t>
      </w:r>
      <w:r>
        <w:rPr>
          <w:rFonts w:ascii="Times New Roman" w:hAnsi="Times New Roman"/>
          <w:b/>
        </w:rPr>
        <w:t xml:space="preserve"> (hiatus </w:t>
      </w:r>
      <w:r>
        <w:rPr>
          <w:rFonts w:ascii="Times New Roman" w:hAnsi="Times New Roman"/>
          <w:b/>
        </w:rPr>
        <w:t xml:space="preserve">leucémique </w:t>
      </w:r>
      <w:r>
        <w:rPr>
          <w:rFonts w:ascii="Times New Roman" w:hAnsi="Times New Roman"/>
          <w:b/>
        </w:rPr>
        <w:t>=</w:t>
      </w:r>
      <w:r>
        <w:rPr>
          <w:rFonts w:ascii="Times New Roman" w:hAnsi="Times New Roman"/>
          <w:b/>
        </w:rPr>
        <w:t xml:space="preserve"> </w:t>
      </w:r>
      <w:r>
        <w:rPr>
          <w:rFonts w:ascii="Times New Roman" w:hAnsi="Times New Roman"/>
          <w:b/>
        </w:rPr>
        <w:t xml:space="preserve">absence de production des autres lignées cellulaires à part les cellules immatures qui se prolifèrent 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>Médullogramme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 xml:space="preserve">Moelle riche avec hyperplasie granulocytaire ????????? </w:t>
      </w:r>
    </w:p>
    <w:p>
      <w:pPr>
        <w:numPr>
          <w:ilvl w:val="0"/>
          <w:numId w:val="65"/>
        </w:numPr>
      </w:pPr>
      <w:r>
        <w:rPr>
          <w:rFonts w:ascii="Times New Roman" w:hAnsi="Times New Roman"/>
          <w:b/>
        </w:rPr>
        <w:t xml:space="preserve">Confirme l'origine LMC de ce syndrome </w:t>
      </w:r>
      <w:r>
        <w:rPr>
          <w:rFonts w:ascii="Times New Roman" w:hAnsi="Times New Roman"/>
          <w:b/>
        </w:rPr>
        <w:t>myéloprolifératif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>Existence de chromosome Philadelphie 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(9,22), </w:t>
      </w:r>
      <w:r>
        <w:rPr>
          <w:rFonts w:ascii="Times New Roman" w:hAnsi="Times New Roman"/>
          <w:i/>
        </w:rPr>
        <w:t xml:space="preserve">responsable de la production de la </w:t>
      </w:r>
      <w:r>
        <w:rPr>
          <w:rFonts w:ascii="Times New Roman" w:hAnsi="Times New Roman"/>
          <w:b/>
          <w:i/>
        </w:rPr>
        <w:t>protéine</w:t>
      </w:r>
      <w:r>
        <w:rPr>
          <w:rFonts w:ascii="Times New Roman" w:hAnsi="Times New Roman"/>
          <w:b/>
          <w:i/>
        </w:rPr>
        <w:t xml:space="preserve"> cytoplasmique à activité tyrosine kinase responsable de la </w:t>
      </w:r>
      <w:r>
        <w:rPr>
          <w:rFonts w:ascii="Times New Roman" w:hAnsi="Times New Roman"/>
          <w:b/>
          <w:i/>
        </w:rPr>
        <w:t>leucemogenese</w:t>
      </w:r>
    </w:p>
    <w:p>
      <w:pPr>
        <w:numPr>
          <w:ilvl w:val="1"/>
          <w:numId w:val="65"/>
        </w:numPr>
      </w:pPr>
      <w:r>
        <w:rPr>
          <w:rFonts w:ascii="Times New Roman" w:hAnsi="Times New Roman"/>
        </w:rPr>
        <w:t xml:space="preserve">Equivalent </w:t>
      </w:r>
      <w:r>
        <w:rPr>
          <w:rFonts w:ascii="Times New Roman" w:hAnsi="Times New Roman"/>
        </w:rPr>
        <w:t xml:space="preserve">moléculaire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réarrangement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bcr-abl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(biologie moléculaire) </w:t>
      </w:r>
    </w:p>
    <w:p>
      <w:pPr>
        <w:numPr>
          <w:ilvl w:val="2"/>
          <w:numId w:val="65"/>
        </w:numPr>
      </w:pPr>
      <w:r>
        <w:rPr>
          <w:rFonts w:ascii="Times New Roman" w:hAnsi="Times New Roman"/>
        </w:rPr>
        <w:t>Protéine</w:t>
      </w:r>
      <w:r>
        <w:rPr>
          <w:rFonts w:ascii="Times New Roman" w:hAnsi="Times New Roman"/>
        </w:rPr>
        <w:t xml:space="preserve"> cytoplasmique à activité tyrosine kinase responsable de la </w:t>
      </w:r>
      <w:r>
        <w:rPr>
          <w:rFonts w:ascii="Times New Roman" w:hAnsi="Times New Roman"/>
        </w:rPr>
        <w:t>leuc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>mog</w:t>
      </w:r>
      <w:r>
        <w:rPr>
          <w:rFonts w:ascii="Times New Roman" w:hAnsi="Times New Roman"/>
        </w:rPr>
        <w:t>é</w:t>
      </w:r>
      <w:r>
        <w:rPr>
          <w:rFonts w:ascii="Times New Roman" w:hAnsi="Times New Roman"/>
        </w:rPr>
        <w:t>n</w:t>
      </w:r>
      <w:r>
        <w:rPr>
          <w:rFonts w:ascii="Times New Roman" w:hAnsi="Times New Roman"/>
        </w:rPr>
        <w:t>è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(surproduction) </w:t>
      </w:r>
    </w:p>
    <w:p>
      <w:pPr>
        <w:numPr>
          <w:ilvl w:val="1"/>
          <w:numId w:val="65"/>
        </w:numPr>
      </w:pPr>
      <w:r>
        <w:rPr>
          <w:rFonts w:ascii="Times New Roman" w:hAnsi="Times New Roman"/>
          <w:i/>
        </w:rPr>
        <w:t xml:space="preserve">Translocation </w:t>
      </w:r>
      <w:r>
        <w:rPr>
          <w:rFonts w:ascii="Times New Roman" w:hAnsi="Times New Roman"/>
          <w:i/>
        </w:rPr>
        <w:t>t(</w:t>
      </w:r>
      <w:r>
        <w:rPr>
          <w:rFonts w:ascii="Times New Roman" w:hAnsi="Times New Roman"/>
          <w:i/>
        </w:rPr>
        <w:t>9,22)</w:t>
      </w:r>
      <w:r>
        <w:rPr>
          <w:rFonts w:ascii="Times New Roman" w:hAnsi="Times New Roman"/>
          <w:i/>
        </w:rPr>
        <w:t xml:space="preserve"> </w:t>
      </w:r>
      <w:r>
        <w:rPr>
          <w:rFonts w:ascii="Times New Roman" w:hAnsi="Times New Roman"/>
          <w:i/>
        </w:rPr>
        <w:t>(q34,q11)</w:t>
      </w:r>
    </w:p>
    <w:p>
      <w:pPr/>
    </w:p>
    <w:p>
      <w:pPr>
        <w:pStyle w:val="Heading2"/>
      </w:pPr>
      <w:r>
        <w:rPr/>
        <w:t>EVOLUTION</w:t>
      </w:r>
    </w:p>
    <w:p>
      <w:pPr>
        <w:pStyle w:val="Heading3"/>
      </w:pPr>
      <w:r>
        <w:rPr>
          <w:sz w:val="26"/>
        </w:rPr>
        <w:t>PHASE D'ACCELERATION</w:t>
      </w:r>
    </w:p>
    <w:p>
      <w:pPr/>
      <w:r>
        <w:rPr>
          <w:rFonts w:ascii="Times New Roman" w:hAnsi="Times New Roman"/>
          <w:i/>
        </w:rPr>
        <w:t>Survient après plusieurs mois ou années d'évolution, marquée par</w:t>
      </w:r>
    </w:p>
    <w:p>
      <w:pPr/>
      <w:r>
        <w:rPr>
          <w:rFonts w:ascii="Times New Roman" w:hAnsi="Times New Roman"/>
          <w:b/>
        </w:rPr>
        <w:t>Cliniquement</w:t>
      </w:r>
    </w:p>
    <w:p>
      <w:pPr/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Accentuation rapide des SG</w:t>
      </w:r>
    </w:p>
    <w:p>
      <w:pPr/>
      <w:r>
        <w:rPr>
          <w:rFonts w:ascii="Times New Roman" w:hAnsi="Times New Roman"/>
          <w:b/>
        </w:rPr>
        <w:t>Biologiquement</w:t>
      </w:r>
    </w:p>
    <w:p>
      <w:pPr/>
      <w:r>
        <w:rPr>
          <w:rFonts w:ascii="Times New Roman" w:hAnsi="Times New Roman"/>
          <w:b/>
        </w:rPr>
        <w:tab/>
      </w:r>
      <w:r>
        <w:rPr>
          <w:rFonts w:ascii="Times New Roman" w:hAnsi="Times New Roman"/>
        </w:rPr>
        <w:t>Augmentation des blastes dans le sang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(&lt;20%)</w:t>
      </w:r>
    </w:p>
    <w:p>
      <w:pPr/>
      <w:r>
        <w:rPr>
          <w:rFonts w:ascii="Times New Roman" w:hAnsi="Times New Roman"/>
        </w:rPr>
        <w:tab/>
        <w:t xml:space="preserve">Augmentation des </w:t>
      </w:r>
      <w:r>
        <w:rPr>
          <w:rFonts w:ascii="Times New Roman" w:hAnsi="Times New Roman"/>
        </w:rPr>
        <w:t>éosinophiles</w:t>
      </w:r>
      <w:r>
        <w:rPr>
          <w:rFonts w:ascii="Times New Roman" w:hAnsi="Times New Roman"/>
        </w:rPr>
        <w:t xml:space="preserve"> et basophiles (&gt;15%)</w:t>
      </w:r>
    </w:p>
    <w:p>
      <w:pPr/>
      <w:r>
        <w:rPr>
          <w:rFonts w:ascii="Times New Roman" w:hAnsi="Times New Roman"/>
        </w:rPr>
        <w:t>Cette phase accélérée peut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>Régresser</w:t>
      </w:r>
      <w:r>
        <w:rPr>
          <w:rFonts w:ascii="Times New Roman" w:hAnsi="Times New Roman"/>
        </w:rPr>
        <w:t xml:space="preserve"> sous traitement intensif</w:t>
      </w:r>
    </w:p>
    <w:p>
      <w:pPr>
        <w:numPr>
          <w:ilvl w:val="0"/>
          <w:numId w:val="66"/>
        </w:numPr>
      </w:pPr>
      <w:r>
        <w:rPr>
          <w:rFonts w:ascii="Times New Roman" w:hAnsi="Times New Roman"/>
        </w:rPr>
        <w:t xml:space="preserve">Peut évoluer vers la phase suivante= </w:t>
      </w:r>
      <w:r>
        <w:rPr>
          <w:rFonts w:ascii="Times New Roman" w:hAnsi="Times New Roman"/>
          <w:i/>
        </w:rPr>
        <w:t>Phase d'</w:t>
      </w:r>
      <w:r>
        <w:rPr>
          <w:rFonts w:ascii="Times New Roman" w:hAnsi="Times New Roman"/>
          <w:i/>
        </w:rPr>
        <w:t>acutisation</w:t>
      </w:r>
      <w:r>
        <w:rPr>
          <w:rFonts w:ascii="Times New Roman" w:hAnsi="Times New Roman"/>
          <w:i/>
        </w:rPr>
        <w:t xml:space="preserve">:-&gt; </w:t>
      </w:r>
      <w:r>
        <w:rPr>
          <w:sz w:val="26"/>
        </w:rPr>
        <w:t>LAM</w:t>
      </w:r>
    </w:p>
    <w:p>
      <w:pPr/>
      <w:r>
        <w:rPr>
          <w:rFonts w:ascii="Times New Roman" w:hAnsi="Times New Roman"/>
        </w:rPr>
        <w:t>SYNDROME TUMORAL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Signe de </w:t>
      </w:r>
      <w:r>
        <w:rPr>
          <w:rFonts w:ascii="Times New Roman" w:hAnsi="Times New Roman"/>
        </w:rPr>
        <w:t>prolifération</w:t>
      </w:r>
      <w:r>
        <w:rPr>
          <w:rFonts w:ascii="Times New Roman" w:hAnsi="Times New Roman"/>
        </w:rPr>
        <w:t xml:space="preserve"> des </w:t>
      </w:r>
      <w:r>
        <w:rPr>
          <w:rFonts w:ascii="Times New Roman" w:hAnsi="Times New Roman"/>
        </w:rPr>
        <w:t>blastes 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présence</w:t>
      </w:r>
      <w:r>
        <w:rPr>
          <w:rFonts w:ascii="Times New Roman" w:hAnsi="Times New Roman"/>
        </w:rPr>
        <w:t xml:space="preserve"> des blastes dans le sang</w:t>
      </w:r>
    </w:p>
    <w:p>
      <w:pPr/>
      <w:r>
        <w:rPr>
          <w:rFonts w:ascii="Times New Roman" w:hAnsi="Times New Roman"/>
        </w:rPr>
        <w:t xml:space="preserve">Si signe clinique </w:t>
      </w:r>
      <w:r>
        <w:rPr>
          <w:rFonts w:ascii="Times New Roman" w:hAnsi="Times New Roman"/>
        </w:rPr>
        <w:t>d'</w:t>
      </w:r>
      <w:r>
        <w:rPr>
          <w:rFonts w:ascii="Times New Roman" w:hAnsi="Times New Roman"/>
        </w:rPr>
        <w:t>acutisation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demander </w:t>
      </w:r>
      <w:r>
        <w:rPr>
          <w:rFonts w:ascii="Times New Roman" w:hAnsi="Times New Roman"/>
        </w:rPr>
        <w:t>Médullogramme</w:t>
      </w:r>
      <w:r>
        <w:rPr>
          <w:rFonts w:ascii="Times New Roman" w:hAnsi="Times New Roman"/>
        </w:rPr>
        <w:t>: blaste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&gt;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20%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moelle osseuse: traitement de LAM. Décès par syndrome </w:t>
      </w:r>
      <w:r>
        <w:rPr>
          <w:rFonts w:ascii="Times New Roman" w:hAnsi="Times New Roman"/>
        </w:rPr>
        <w:t>hémorragique</w:t>
      </w:r>
      <w:r>
        <w:rPr>
          <w:rFonts w:ascii="Times New Roman" w:hAnsi="Times New Roman"/>
        </w:rPr>
        <w:t xml:space="preserve"> grave ou infectieux</w:t>
      </w:r>
    </w:p>
    <w:p>
      <w:pPr/>
    </w:p>
    <w:p>
      <w:pPr>
        <w:pStyle w:val="Heading2"/>
      </w:pPr>
      <w:r>
        <w:rPr/>
        <w:t xml:space="preserve">Principes </w:t>
      </w:r>
      <w:r>
        <w:rPr/>
        <w:t>thérapeutiques</w:t>
      </w:r>
    </w:p>
    <w:p>
      <w:pPr>
        <w:pStyle w:val="Heading3"/>
      </w:pPr>
      <w:r>
        <w:rPr/>
        <w:t>Buts</w:t>
      </w:r>
      <w:r>
        <w:rPr/>
        <w:t xml:space="preserve"> </w:t>
      </w:r>
      <w:r>
        <w:rPr/>
        <w:t>: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Diminuer la masse tumorale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Eviter les complications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Eliminer si possible les clones tumoraux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Restituer une </w:t>
      </w:r>
      <w:r>
        <w:rPr>
          <w:rFonts w:ascii="Times New Roman" w:hAnsi="Times New Roman"/>
        </w:rPr>
        <w:t>hématopoïèse</w:t>
      </w:r>
      <w:r>
        <w:rPr>
          <w:rFonts w:ascii="Times New Roman" w:hAnsi="Times New Roman"/>
        </w:rPr>
        <w:t xml:space="preserve"> normale</w:t>
      </w:r>
    </w:p>
    <w:p>
      <w:pPr>
        <w:pStyle w:val="Heading3"/>
      </w:pPr>
      <w:r>
        <w:rPr/>
        <w:t>Moyens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>Cytaphérèse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Traitement </w:t>
      </w:r>
      <w:r>
        <w:rPr>
          <w:rFonts w:ascii="Times New Roman" w:hAnsi="Times New Roman"/>
        </w:rPr>
        <w:t>médicamenteux</w:t>
      </w:r>
      <w:r>
        <w:rPr>
          <w:rFonts w:ascii="Times New Roman" w:hAnsi="Times New Roman"/>
        </w:rPr>
        <w:t xml:space="preserve"> antitumoral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Traitement </w:t>
      </w:r>
      <w:r>
        <w:rPr>
          <w:rFonts w:ascii="Times New Roman" w:hAnsi="Times New Roman"/>
        </w:rPr>
        <w:t>anti tyrosine</w:t>
      </w:r>
      <w:r>
        <w:rPr>
          <w:rFonts w:ascii="Times New Roman" w:hAnsi="Times New Roman"/>
        </w:rPr>
        <w:t xml:space="preserve"> kinase (Traitement spécifique) </w:t>
      </w:r>
    </w:p>
    <w:p>
      <w:pPr>
        <w:numPr>
          <w:ilvl w:val="1"/>
          <w:numId w:val="67"/>
        </w:numPr>
      </w:pPr>
      <w:r>
        <w:rPr>
          <w:rFonts w:ascii="Times New Roman" w:hAnsi="Times New Roman"/>
        </w:rPr>
        <w:t xml:space="preserve">Greffe de moelle </w:t>
      </w:r>
    </w:p>
    <w:p>
      <w:pPr>
        <w:pStyle w:val="Heading3"/>
      </w:pPr>
      <w:r>
        <w:rPr/>
        <w:t xml:space="preserve">Cytaphérèse </w:t>
      </w:r>
      <w:r>
        <w:rPr/>
        <w:t>:</w:t>
      </w:r>
    </w:p>
    <w:p>
      <w:pPr>
        <w:numPr>
          <w:ilvl w:val="0"/>
          <w:numId w:val="68"/>
        </w:numPr>
      </w:pPr>
      <w:r>
        <w:rPr>
          <w:rFonts w:ascii="Times New Roman" w:hAnsi="Times New Roman"/>
        </w:rPr>
        <w:t xml:space="preserve">Trier les cellules sanguines et </w:t>
      </w:r>
      <w:r>
        <w:rPr>
          <w:rFonts w:ascii="Times New Roman" w:hAnsi="Times New Roman"/>
        </w:rPr>
        <w:t>éliminer</w:t>
      </w:r>
      <w:r>
        <w:rPr>
          <w:rFonts w:ascii="Times New Roman" w:hAnsi="Times New Roman"/>
        </w:rPr>
        <w:t xml:space="preserve"> la lignée granulocytaire </w:t>
      </w:r>
      <w:r>
        <w:rPr>
          <w:rFonts w:ascii="Times New Roman" w:hAnsi="Times New Roman"/>
        </w:rPr>
        <w:t>proliférative</w:t>
      </w:r>
    </w:p>
    <w:p>
      <w:pPr>
        <w:numPr>
          <w:ilvl w:val="1"/>
          <w:numId w:val="68"/>
        </w:numPr>
      </w:pPr>
      <w:r>
        <w:rPr>
          <w:rFonts w:ascii="Times New Roman" w:hAnsi="Times New Roman"/>
        </w:rPr>
        <w:t xml:space="preserve">A </w:t>
      </w:r>
      <w:r>
        <w:rPr>
          <w:rFonts w:ascii="Times New Roman" w:hAnsi="Times New Roman"/>
        </w:rPr>
        <w:t xml:space="preserve">défaut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</w:rPr>
        <w:t>échange</w:t>
      </w:r>
      <w:r>
        <w:rPr>
          <w:rFonts w:ascii="Times New Roman" w:hAnsi="Times New Roman"/>
        </w:rPr>
        <w:t xml:space="preserve"> transfusionnel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i/>
        </w:rPr>
        <w:t xml:space="preserve">on </w:t>
      </w:r>
      <w:r>
        <w:rPr>
          <w:rFonts w:ascii="Times New Roman" w:hAnsi="Times New Roman"/>
          <w:i/>
        </w:rPr>
        <w:t>enlève</w:t>
      </w:r>
      <w:r>
        <w:rPr>
          <w:rFonts w:ascii="Times New Roman" w:hAnsi="Times New Roman"/>
          <w:i/>
        </w:rPr>
        <w:t xml:space="preserve"> le sang du patient rempli de GB, on le transfuse ensuite en GR et Plaquettes. Limite journalière : 500ml/j si 70kg, 50 </w:t>
      </w:r>
      <w:r>
        <w:rPr>
          <w:rFonts w:ascii="Times New Roman" w:hAnsi="Times New Roman"/>
          <w:i/>
        </w:rPr>
        <w:t>Kg :</w:t>
      </w:r>
      <w:r>
        <w:rPr>
          <w:rFonts w:ascii="Times New Roman" w:hAnsi="Times New Roman"/>
          <w:i/>
        </w:rPr>
        <w:t xml:space="preserve"> 400ml/j, </w:t>
      </w:r>
      <w:r>
        <w:rPr>
          <w:rFonts w:ascii="Times New Roman" w:hAnsi="Times New Roman"/>
          <w:i/>
        </w:rPr>
        <w:t>contrôle</w:t>
      </w:r>
      <w:r>
        <w:rPr>
          <w:rFonts w:ascii="Times New Roman" w:hAnsi="Times New Roman"/>
          <w:i/>
        </w:rPr>
        <w:t xml:space="preserve"> journalier </w:t>
      </w:r>
      <w:r>
        <w:rPr>
          <w:rFonts w:ascii="Times New Roman" w:hAnsi="Times New Roman"/>
          <w:i/>
        </w:rPr>
        <w:t>hémogramme</w:t>
      </w:r>
    </w:p>
    <w:p>
      <w:pPr>
        <w:numPr>
          <w:ilvl w:val="0"/>
          <w:numId w:val="68"/>
        </w:numPr>
      </w:pPr>
      <w:r>
        <w:rPr>
          <w:rFonts w:ascii="Times New Roman" w:hAnsi="Times New Roman"/>
        </w:rPr>
        <w:t xml:space="preserve">Eviter les complications </w:t>
      </w:r>
      <w:r>
        <w:rPr>
          <w:rFonts w:ascii="Times New Roman" w:hAnsi="Times New Roman"/>
        </w:rPr>
        <w:t>liées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à</w:t>
      </w:r>
      <w:r>
        <w:rPr>
          <w:rFonts w:ascii="Times New Roman" w:hAnsi="Times New Roman"/>
        </w:rPr>
        <w:t xml:space="preserve"> l'</w:t>
      </w:r>
      <w:r>
        <w:rPr>
          <w:rFonts w:ascii="Times New Roman" w:hAnsi="Times New Roman"/>
        </w:rPr>
        <w:t>hyperleucocytose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importante (</w:t>
      </w:r>
      <w:r>
        <w:rPr>
          <w:rFonts w:ascii="Times New Roman" w:hAnsi="Times New Roman"/>
        </w:rPr>
        <w:t>leucostase</w:t>
      </w:r>
      <w:r>
        <w:rPr>
          <w:rFonts w:ascii="Times New Roman" w:hAnsi="Times New Roman"/>
        </w:rPr>
        <w:t xml:space="preserve"> pulmonaire, priapisme, AVC) </w:t>
      </w:r>
    </w:p>
    <w:p>
      <w:pPr/>
    </w:p>
    <w:p>
      <w:pPr/>
      <w:r>
        <w:rPr>
          <w:rFonts w:ascii="Times New Roman" w:hAnsi="Times New Roman"/>
        </w:rPr>
        <w:t>Traitement médicamenteux antitumoral</w:t>
      </w:r>
    </w:p>
    <w:p>
      <w:pPr>
        <w:numPr>
          <w:ilvl w:val="0"/>
          <w:numId w:val="69"/>
        </w:numPr>
      </w:pPr>
      <w:r>
        <w:rPr>
          <w:rFonts w:ascii="Times New Roman" w:hAnsi="Times New Roman"/>
        </w:rPr>
        <w:t>Hydroxyurée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</w:t>
      </w:r>
      <w:r>
        <w:rPr>
          <w:rFonts w:ascii="Times New Roman" w:hAnsi="Times New Roman"/>
        </w:rPr>
        <w:t>Hydrea</w:t>
      </w:r>
      <w:r>
        <w:rPr>
          <w:rFonts w:ascii="Times New Roman" w:hAnsi="Times New Roman"/>
        </w:rPr>
        <w:t xml:space="preserve">*) 50mg/kg/j </w:t>
      </w:r>
      <w:r>
        <w:rPr>
          <w:rFonts w:ascii="Times New Roman" w:hAnsi="Times New Roman"/>
          <w:i/>
        </w:rPr>
        <w:t>Risque d'</w:t>
      </w:r>
      <w:r>
        <w:rPr>
          <w:rFonts w:ascii="Times New Roman" w:hAnsi="Times New Roman"/>
          <w:i/>
        </w:rPr>
        <w:t>anémie</w:t>
      </w:r>
      <w:r>
        <w:rPr>
          <w:rFonts w:ascii="Times New Roman" w:hAnsi="Times New Roman"/>
          <w:i/>
        </w:rPr>
        <w:t xml:space="preserve">, </w:t>
      </w:r>
      <w:r>
        <w:rPr>
          <w:rFonts w:ascii="Times New Roman" w:hAnsi="Times New Roman"/>
          <w:i/>
        </w:rPr>
        <w:t>thrombopénie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Surveiller l'</w:t>
      </w:r>
      <w:r>
        <w:rPr>
          <w:rFonts w:ascii="Times New Roman" w:hAnsi="Times New Roman"/>
        </w:rPr>
        <w:t>hémogramme</w:t>
      </w:r>
      <w:r>
        <w:rPr>
          <w:rFonts w:ascii="Times New Roman" w:hAnsi="Times New Roman"/>
        </w:rPr>
        <w:t xml:space="preserve">, fonction </w:t>
      </w:r>
      <w:r>
        <w:rPr>
          <w:rFonts w:ascii="Times New Roman" w:hAnsi="Times New Roman"/>
        </w:rPr>
        <w:t>rénale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Bien hydrater, alcaliniser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>Diminuer le taux d'acide urique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(Zyloric* Allopurinol) </w:t>
      </w:r>
    </w:p>
    <w:p>
      <w:pPr>
        <w:numPr>
          <w:ilvl w:val="1"/>
          <w:numId w:val="69"/>
        </w:numPr>
      </w:pPr>
      <w:r>
        <w:rPr>
          <w:rFonts w:ascii="Times New Roman" w:hAnsi="Times New Roman"/>
        </w:rPr>
        <w:t xml:space="preserve">Effet </w:t>
      </w:r>
      <w:r>
        <w:rPr>
          <w:rFonts w:ascii="Times New Roman" w:hAnsi="Times New Roman"/>
        </w:rPr>
        <w:t xml:space="preserve">indésirable </w:t>
      </w:r>
      <w:r>
        <w:rPr>
          <w:rFonts w:ascii="Times New Roman" w:hAnsi="Times New Roman"/>
        </w:rPr>
        <w:t>: macrocytose, signes cutanés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(changement de couleur de la peau et des ongles) et muqueux</w:t>
      </w:r>
    </w:p>
    <w:p>
      <w:pPr/>
    </w:p>
    <w:p>
      <w:pPr/>
      <w:r>
        <w:rPr>
          <w:rFonts w:ascii="Times New Roman" w:hAnsi="Times New Roman"/>
        </w:rPr>
        <w:t xml:space="preserve">Traitement </w:t>
      </w:r>
      <w:r>
        <w:rPr>
          <w:rFonts w:ascii="Times New Roman" w:hAnsi="Times New Roman"/>
        </w:rPr>
        <w:t>anti tyrosine</w:t>
      </w:r>
      <w:r>
        <w:rPr>
          <w:rFonts w:ascii="Times New Roman" w:hAnsi="Times New Roman"/>
        </w:rPr>
        <w:t xml:space="preserve"> kinase (</w:t>
      </w:r>
      <w:r>
        <w:rPr>
          <w:rFonts w:ascii="Times New Roman" w:hAnsi="Times New Roman"/>
        </w:rPr>
        <w:t>thérapie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ciblée</w:t>
      </w:r>
      <w:r>
        <w:rPr>
          <w:rFonts w:ascii="Times New Roman" w:hAnsi="Times New Roman"/>
        </w:rPr>
        <w:t xml:space="preserve">, cible la translocation à l'origine de la maladie) 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STI 571 ou Imatinib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(Glivec*, </w:t>
      </w:r>
      <w:r>
        <w:rPr>
          <w:rFonts w:ascii="Times New Roman" w:hAnsi="Times New Roman"/>
        </w:rPr>
        <w:t>Gleevec</w:t>
      </w:r>
      <w:r>
        <w:rPr>
          <w:rFonts w:ascii="Times New Roman" w:hAnsi="Times New Roman"/>
        </w:rPr>
        <w:t>*) par voie orale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 xml:space="preserve">C'est un Inhibiteur spécifique de la tyrosine kinase </w:t>
      </w:r>
      <w:r>
        <w:rPr>
          <w:rFonts w:ascii="Times New Roman" w:hAnsi="Times New Roman"/>
        </w:rPr>
        <w:t>bcr-abl</w:t>
      </w:r>
    </w:p>
    <w:p>
      <w:pPr>
        <w:numPr>
          <w:ilvl w:val="0"/>
          <w:numId w:val="70"/>
        </w:numPr>
      </w:pPr>
      <w:r>
        <w:rPr>
          <w:rFonts w:ascii="Times New Roman" w:hAnsi="Times New Roman"/>
        </w:rPr>
        <w:t>400mg/j ou 600mg/j, pris à vie</w:t>
      </w:r>
    </w:p>
    <w:p>
      <w:pPr>
        <w:numPr>
          <w:ilvl w:val="1"/>
          <w:numId w:val="70"/>
        </w:numPr>
      </w:pPr>
      <w:r>
        <w:rPr>
          <w:rFonts w:ascii="Times New Roman" w:hAnsi="Times New Roman"/>
        </w:rPr>
        <w:t>Meilleur traitement</w:t>
      </w:r>
    </w:p>
    <w:p>
      <w:pPr>
        <w:numPr>
          <w:ilvl w:val="1"/>
          <w:numId w:val="70"/>
        </w:numPr>
      </w:pPr>
      <w:r>
        <w:rPr>
          <w:rFonts w:ascii="Times New Roman" w:hAnsi="Times New Roman"/>
        </w:rPr>
        <w:t>Rémission cytologique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(normalisation de l'</w:t>
      </w:r>
      <w:r>
        <w:rPr>
          <w:rFonts w:ascii="Times New Roman" w:hAnsi="Times New Roman"/>
        </w:rPr>
        <w:t>hémogramme</w:t>
      </w:r>
      <w:r>
        <w:rPr>
          <w:rFonts w:ascii="Times New Roman" w:hAnsi="Times New Roman"/>
        </w:rPr>
        <w:t xml:space="preserve">) mais aussi </w:t>
      </w:r>
      <w:r>
        <w:rPr>
          <w:rFonts w:ascii="Times New Roman" w:hAnsi="Times New Roman"/>
        </w:rPr>
        <w:t xml:space="preserve">cytogénétiques </w:t>
      </w:r>
      <w:r>
        <w:rPr>
          <w:rFonts w:ascii="Times New Roman" w:hAnsi="Times New Roman"/>
        </w:rPr>
        <w:t xml:space="preserve">(absence de la </w:t>
      </w:r>
      <w:r>
        <w:rPr>
          <w:rFonts w:ascii="Times New Roman" w:hAnsi="Times New Roman"/>
        </w:rPr>
        <w:t>translocation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t(</w:t>
      </w:r>
      <w:r>
        <w:rPr>
          <w:rFonts w:ascii="Times New Roman" w:hAnsi="Times New Roman"/>
        </w:rPr>
        <w:t>9,22)</w:t>
      </w:r>
    </w:p>
    <w:p>
      <w:pPr>
        <w:numPr>
          <w:ilvl w:val="1"/>
          <w:numId w:val="70"/>
        </w:numPr>
      </w:pPr>
      <w:r>
        <w:rPr>
          <w:rFonts w:ascii="Times New Roman" w:hAnsi="Times New Roman"/>
        </w:rPr>
        <w:t>Resistance dans de rares cas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: ITK de 2eme </w:t>
      </w:r>
      <w:r>
        <w:rPr>
          <w:rFonts w:ascii="Times New Roman" w:hAnsi="Times New Roman"/>
        </w:rPr>
        <w:t xml:space="preserve">génération 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Dasatinib</w:t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Nilotinib</w:t>
      </w:r>
      <w:r>
        <w:rPr>
          <w:rFonts w:ascii="Times New Roman" w:hAnsi="Times New Roman"/>
        </w:rPr>
        <w:t xml:space="preserve">, greffe de moelle si </w:t>
      </w:r>
      <w:r>
        <w:rPr>
          <w:rFonts w:ascii="Times New Roman" w:hAnsi="Times New Roman"/>
        </w:rPr>
        <w:t>résistance</w:t>
      </w:r>
      <w:r>
        <w:rPr>
          <w:rFonts w:ascii="Times New Roman" w:hAnsi="Times New Roman"/>
        </w:rPr>
        <w:t xml:space="preserve"> à ces ITK 2G</w:t>
      </w:r>
    </w:p>
    <w:p>
      <w:pPr/>
    </w:p>
    <w:p>
      <w:pPr/>
      <w:r>
        <w:rPr>
          <w:rFonts w:ascii="Times New Roman" w:hAnsi="Times New Roman"/>
        </w:rPr>
        <w:t>Traitements symptomatiques</w:t>
      </w:r>
    </w:p>
    <w:p>
      <w:pPr>
        <w:numPr>
          <w:ilvl w:val="0"/>
          <w:numId w:val="71"/>
        </w:numPr>
      </w:pPr>
      <w:r>
        <w:rPr>
          <w:rFonts w:ascii="Times New Roman" w:hAnsi="Times New Roman"/>
        </w:rPr>
        <w:t>Hyperdiurese</w:t>
      </w:r>
      <w:r>
        <w:rPr>
          <w:rFonts w:ascii="Times New Roman" w:hAnsi="Times New Roman"/>
        </w:rPr>
        <w:t xml:space="preserve"> alcaline</w:t>
      </w: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(hyperhydratation alcaline) </w:t>
      </w:r>
    </w:p>
    <w:p>
      <w:pPr>
        <w:numPr>
          <w:ilvl w:val="0"/>
          <w:numId w:val="71"/>
        </w:numPr>
      </w:pPr>
      <w:r>
        <w:rPr>
          <w:rFonts w:ascii="Times New Roman" w:hAnsi="Times New Roman"/>
        </w:rPr>
        <w:t xml:space="preserve">+ </w:t>
      </w:r>
      <w:r>
        <w:rPr>
          <w:rFonts w:ascii="Times New Roman" w:hAnsi="Times New Roman"/>
        </w:rPr>
        <w:t>hypouricemiant</w:t>
      </w:r>
      <w:r>
        <w:rPr>
          <w:rFonts w:ascii="Times New Roman" w:hAnsi="Times New Roman"/>
        </w:rPr>
        <w:t xml:space="preserve"> (Allopurinol 100mg x3/j) </w:t>
      </w:r>
    </w:p>
    <w:p>
      <w:pPr>
        <w:numPr>
          <w:ilvl w:val="0"/>
          <w:numId w:val="71"/>
        </w:numPr>
      </w:pPr>
      <w:r>
        <w:rPr>
          <w:rFonts w:ascii="Times New Roman" w:hAnsi="Times New Roman"/>
        </w:rPr>
        <w:t>Echange transfusionnel</w:t>
      </w:r>
    </w:p>
    <w:p>
      <w:pPr/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