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LEUCEMIES AIGUES</w:t>
      </w:r>
    </w:p>
    <w:p>
      <w:pPr>
        <w:pStyle w:val="Heading2"/>
      </w:pPr>
      <w:r>
        <w:rPr/>
        <w:t>Définition et Physiopathologie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Définition cytologique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Prolifération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</w:rPr>
        <w:t>précurseurs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hématopoïétiques</w:t>
      </w:r>
      <w:r>
        <w:rPr>
          <w:rFonts w:ascii="Times New Roman" w:hAnsi="Times New Roman"/>
        </w:rPr>
        <w:t xml:space="preserve"> peu différenciés incapables d'achever leur maturation (prolifération de cellules immatures appelées "blastes") </w:t>
      </w:r>
    </w:p>
    <w:p>
      <w:pPr>
        <w:ind w:left="720"/>
      </w:pPr>
      <w:r>
        <w:rPr>
          <w:rFonts w:ascii="Times New Roman" w:hAnsi="Times New Roman"/>
          <w:i/>
        </w:rPr>
        <w:t>Feno</w:t>
      </w:r>
      <w:r>
        <w:rPr>
          <w:rFonts w:ascii="Times New Roman" w:hAnsi="Times New Roman"/>
          <w:i/>
        </w:rPr>
        <w:t xml:space="preserve"> blastes </w:t>
      </w:r>
      <w:r>
        <w:rPr>
          <w:rFonts w:ascii="Times New Roman" w:hAnsi="Times New Roman"/>
          <w:i/>
        </w:rPr>
        <w:t>any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anatin'ny</w:t>
      </w:r>
      <w:r>
        <w:rPr>
          <w:rFonts w:ascii="Times New Roman" w:hAnsi="Times New Roman"/>
          <w:i/>
        </w:rPr>
        <w:t xml:space="preserve"> moelle osseuse, mais ils vont se dupliquer indéfiniment sans être mature, d'où l'envahissement de la moelle osseuse du coup les cellules normales ne peuvent plus sortir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 xml:space="preserve">Progressivement, </w:t>
      </w:r>
    </w:p>
    <w:p>
      <w:pPr>
        <w:numPr>
          <w:ilvl w:val="1"/>
          <w:numId w:val="18"/>
        </w:numPr>
      </w:pPr>
      <w:r>
        <w:rPr>
          <w:rFonts w:ascii="Times New Roman" w:hAnsi="Times New Roman"/>
        </w:rPr>
        <w:t>Envahissement médullaire par ces blastes</w:t>
      </w:r>
    </w:p>
    <w:p>
      <w:pPr>
        <w:numPr>
          <w:ilvl w:val="2"/>
          <w:numId w:val="18"/>
        </w:numPr>
      </w:pPr>
      <w:r>
        <w:rPr>
          <w:rFonts w:ascii="Times New Roman" w:hAnsi="Times New Roman"/>
        </w:rPr>
        <w:t>Passent dans le sang</w:t>
      </w:r>
    </w:p>
    <w:p>
      <w:pPr>
        <w:numPr>
          <w:ilvl w:val="2"/>
          <w:numId w:val="18"/>
        </w:numPr>
      </w:pPr>
      <w:r>
        <w:rPr>
          <w:rFonts w:ascii="Times New Roman" w:hAnsi="Times New Roman"/>
        </w:rPr>
        <w:t xml:space="preserve">Vers les autres </w:t>
      </w:r>
      <w:r>
        <w:rPr>
          <w:rFonts w:ascii="Times New Roman" w:hAnsi="Times New Roman"/>
        </w:rPr>
        <w:t>organes (</w:t>
      </w:r>
      <w:r>
        <w:rPr>
          <w:rFonts w:ascii="Times New Roman" w:hAnsi="Times New Roman"/>
        </w:rPr>
        <w:t xml:space="preserve">yeux, testicules, mamelon, ça peut être partout) 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>Souvent avec anomalies chromosomiques</w:t>
      </w:r>
    </w:p>
    <w:p>
      <w:pPr>
        <w:ind w:left="720"/>
      </w:pPr>
    </w:p>
    <w:p>
      <w:pPr>
        <w:pStyle w:val="Heading2"/>
      </w:pPr>
      <w:r>
        <w:rPr/>
        <w:t>SYMPTOMATOLOGIE</w:t>
      </w:r>
    </w:p>
    <w:p>
      <w:pPr>
        <w:pStyle w:val="Heading3"/>
      </w:pPr>
      <w:r>
        <w:rPr/>
        <w:t>Circonstances du diagnostic : clinique</w:t>
      </w:r>
    </w:p>
    <w:p>
      <w:pPr>
        <w:jc w:val="both"/>
        <w:numPr>
          <w:ilvl w:val="1"/>
          <w:numId w:val="19"/>
        </w:numPr>
      </w:pPr>
      <w:r>
        <w:rPr>
          <w:rFonts w:ascii="Times New Roman" w:hAnsi="Times New Roman"/>
        </w:rPr>
        <w:t xml:space="preserve">Peut toucher les 2 genres, tous les </w:t>
      </w:r>
      <w:r>
        <w:rPr>
          <w:rFonts w:ascii="Times New Roman" w:hAnsi="Times New Roman"/>
        </w:rPr>
        <w:t>âges</w:t>
      </w:r>
    </w:p>
    <w:p>
      <w:pPr>
        <w:jc w:val="both"/>
        <w:numPr>
          <w:ilvl w:val="1"/>
          <w:numId w:val="19"/>
        </w:numPr>
      </w:pPr>
      <w:r>
        <w:rPr>
          <w:rFonts w:ascii="Times New Roman" w:hAnsi="Times New Roman"/>
        </w:rPr>
        <w:t xml:space="preserve">Manifestations de deux </w:t>
      </w:r>
      <w:r>
        <w:rPr>
          <w:rFonts w:ascii="Times New Roman" w:hAnsi="Times New Roman"/>
        </w:rPr>
        <w:t>ordres :</w:t>
      </w:r>
    </w:p>
    <w:p>
      <w:pPr>
        <w:jc w:val="both"/>
        <w:numPr>
          <w:ilvl w:val="2"/>
          <w:numId w:val="19"/>
        </w:numPr>
      </w:pPr>
      <w:r>
        <w:rPr>
          <w:rFonts w:ascii="Times New Roman" w:hAnsi="Times New Roman"/>
          <w:b/>
        </w:rPr>
        <w:t xml:space="preserve">Signes d'insuffisance médullaire, </w:t>
      </w:r>
      <w:r>
        <w:rPr>
          <w:rFonts w:ascii="Times New Roman" w:hAnsi="Times New Roman"/>
        </w:rPr>
        <w:t>d'intensité variable</w:t>
      </w:r>
    </w:p>
    <w:p>
      <w:pPr>
        <w:jc w:val="both"/>
        <w:numPr>
          <w:ilvl w:val="3"/>
          <w:numId w:val="19"/>
        </w:numPr>
      </w:pPr>
      <w:r>
        <w:rPr>
          <w:rFonts w:ascii="Times New Roman" w:hAnsi="Times New Roman"/>
        </w:rPr>
        <w:t>Pâleur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asthénie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anémie</w:t>
      </w:r>
    </w:p>
    <w:p>
      <w:pPr>
        <w:jc w:val="both"/>
        <w:numPr>
          <w:ilvl w:val="3"/>
          <w:numId w:val="19"/>
        </w:numPr>
      </w:pPr>
      <w:r>
        <w:rPr>
          <w:rFonts w:ascii="Times New Roman" w:hAnsi="Times New Roman"/>
        </w:rPr>
        <w:t xml:space="preserve">Infection, </w:t>
      </w:r>
      <w:r>
        <w:rPr>
          <w:rFonts w:ascii="Times New Roman" w:hAnsi="Times New Roman"/>
        </w:rPr>
        <w:t>fièvre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</w:rPr>
        <w:t>granulopenie</w:t>
      </w:r>
    </w:p>
    <w:p>
      <w:pPr>
        <w:spacing w:line="480" w:lineRule="auto"/>
        <w:numPr>
          <w:ilvl w:val="3"/>
          <w:numId w:val="19"/>
        </w:numPr>
      </w:pPr>
      <w:r>
        <w:rPr>
          <w:rFonts w:ascii="Times New Roman" w:hAnsi="Times New Roman"/>
        </w:rPr>
        <w:t>Hémorragies</w:t>
      </w:r>
      <w:r>
        <w:rPr>
          <w:rFonts w:ascii="Times New Roman" w:hAnsi="Times New Roman"/>
        </w:rPr>
        <w:t xml:space="preserve"> (purpura </w:t>
      </w:r>
      <w:r>
        <w:rPr>
          <w:rFonts w:ascii="Times New Roman" w:hAnsi="Times New Roman"/>
          <w:i/>
        </w:rPr>
        <w:t>hémorragie de l'</w:t>
      </w:r>
      <w:r>
        <w:rPr>
          <w:rFonts w:ascii="Times New Roman" w:hAnsi="Times New Roman"/>
          <w:i/>
        </w:rPr>
        <w:t>hémostase</w:t>
      </w:r>
      <w:r>
        <w:rPr>
          <w:rFonts w:ascii="Times New Roman" w:hAnsi="Times New Roman"/>
          <w:i/>
        </w:rPr>
        <w:t xml:space="preserve"> primaire, implique les plaquettes</w:t>
      </w:r>
      <w:r>
        <w:rPr>
          <w:rFonts w:ascii="Times New Roman" w:hAnsi="Times New Roman"/>
        </w:rPr>
        <w:t xml:space="preserve">) : </w:t>
      </w:r>
      <w:r>
        <w:rPr>
          <w:rFonts w:ascii="Times New Roman" w:hAnsi="Times New Roman"/>
        </w:rPr>
        <w:t>thrombopénie</w:t>
      </w:r>
    </w:p>
    <w:p>
      <w:pPr>
        <w:spacing w:line="480" w:lineRule="auto"/>
        <w:jc w:val="both"/>
        <w:numPr>
          <w:ilvl w:val="4"/>
          <w:numId w:val="19"/>
        </w:numPr>
      </w:pPr>
      <w:r>
        <w:rPr>
          <w:rFonts w:ascii="Times New Roman" w:hAnsi="Times New Roman"/>
          <w:i/>
        </w:rPr>
        <w:t>Moelle osseuse envahie par des cellules anormales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  <w:b/>
        </w:rPr>
        <w:t xml:space="preserve">Signes de </w:t>
      </w:r>
      <w:r>
        <w:rPr>
          <w:rFonts w:ascii="Times New Roman" w:hAnsi="Times New Roman"/>
          <w:b/>
        </w:rPr>
        <w:t>prolifération</w:t>
      </w:r>
      <w:r>
        <w:rPr>
          <w:rFonts w:ascii="Times New Roman" w:hAnsi="Times New Roman"/>
          <w:b/>
        </w:rPr>
        <w:t xml:space="preserve"> des cellules malades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>Splénomégalie</w:t>
      </w:r>
      <w:r>
        <w:rPr>
          <w:rFonts w:ascii="Times New Roman" w:hAnsi="Times New Roman"/>
        </w:rPr>
        <w:t xml:space="preserve"> ou </w:t>
      </w:r>
      <w:r>
        <w:rPr>
          <w:rFonts w:ascii="Times New Roman" w:hAnsi="Times New Roman"/>
        </w:rPr>
        <w:t>adénopathies</w:t>
      </w:r>
      <w:r>
        <w:rPr>
          <w:rFonts w:ascii="Times New Roman" w:hAnsi="Times New Roman"/>
        </w:rPr>
        <w:t xml:space="preserve"> 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 xml:space="preserve">Tumeurs et/ou douleurs </w:t>
      </w:r>
      <w:r>
        <w:rPr>
          <w:rFonts w:ascii="Times New Roman" w:hAnsi="Times New Roman"/>
        </w:rPr>
        <w:t>osseuses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à cause de la </w:t>
      </w:r>
      <w:r>
        <w:rPr>
          <w:rFonts w:ascii="Times New Roman" w:hAnsi="Times New Roman"/>
          <w:i/>
        </w:rPr>
        <w:t>prolifération</w:t>
      </w:r>
      <w:r>
        <w:rPr>
          <w:rFonts w:ascii="Times New Roman" w:hAnsi="Times New Roman"/>
          <w:i/>
        </w:rPr>
        <w:t xml:space="preserve"> intra osseuse</w:t>
      </w:r>
    </w:p>
    <w:p>
      <w:pPr>
        <w:spacing w:line="480" w:lineRule="auto"/>
        <w:jc w:val="both"/>
        <w:numPr>
          <w:ilvl w:val="4"/>
          <w:numId w:val="19"/>
        </w:numPr>
      </w:pPr>
      <w:r>
        <w:rPr>
          <w:rFonts w:ascii="Times New Roman" w:hAnsi="Times New Roman"/>
        </w:rPr>
        <w:t>Radiographie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image en bandes claires </w:t>
      </w:r>
      <w:r>
        <w:rPr>
          <w:rFonts w:ascii="Times New Roman" w:hAnsi="Times New Roman"/>
        </w:rPr>
        <w:t>métaphysaires</w:t>
      </w:r>
    </w:p>
    <w:p>
      <w:pPr>
        <w:spacing w:line="480" w:lineRule="auto"/>
        <w:jc w:val="both"/>
        <w:numPr>
          <w:ilvl w:val="4"/>
          <w:numId w:val="19"/>
        </w:numPr>
      </w:pPr>
      <w:r>
        <w:rPr>
          <w:rFonts w:ascii="Times New Roman" w:hAnsi="Times New Roman"/>
        </w:rPr>
        <w:t>Tumeurs testiculaire, mammaire ou ovarienne, cutanée, rétro-orbitaire</w:t>
      </w:r>
    </w:p>
    <w:p>
      <w:pPr>
        <w:pStyle w:val="Heading3"/>
      </w:pPr>
      <w:r>
        <w:rPr/>
        <w:t>Arguments en faveur du diagnostic</w:t>
      </w:r>
      <w:r>
        <w:rPr/>
        <w:t xml:space="preserve"> </w:t>
      </w:r>
      <w:r>
        <w:rPr/>
        <w:t>: biologie</w:t>
      </w:r>
    </w:p>
    <w:p>
      <w:pPr>
        <w:pStyle w:val="Heading4"/>
      </w:pPr>
      <w:r>
        <w:rPr/>
        <w:t xml:space="preserve">Hémogramme </w:t>
      </w:r>
      <w:r>
        <w:rPr/>
        <w:t xml:space="preserve">(analyse quantitative et qualitative du sang) 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 xml:space="preserve">Signes </w:t>
      </w:r>
      <w:r>
        <w:rPr>
          <w:rFonts w:ascii="Times New Roman" w:hAnsi="Times New Roman"/>
          <w:b/>
        </w:rPr>
        <w:t xml:space="preserve">d'insuffisance </w:t>
      </w:r>
      <w:r>
        <w:rPr>
          <w:rFonts w:ascii="Times New Roman" w:hAnsi="Times New Roman"/>
          <w:b/>
        </w:rPr>
        <w:t xml:space="preserve">médullaire </w:t>
      </w:r>
      <w:r>
        <w:rPr>
          <w:rFonts w:ascii="Times New Roman" w:hAnsi="Times New Roman"/>
          <w:b/>
        </w:rPr>
        <w:t>: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>Anémie</w:t>
      </w:r>
      <w:r>
        <w:rPr>
          <w:rFonts w:ascii="Times New Roman" w:hAnsi="Times New Roman"/>
        </w:rPr>
        <w:t xml:space="preserve"> normocytaire normochrome </w:t>
      </w:r>
      <w:r>
        <w:rPr>
          <w:rFonts w:ascii="Times New Roman" w:hAnsi="Times New Roman"/>
        </w:rPr>
        <w:t>arégénérative</w:t>
      </w:r>
      <w:r>
        <w:rPr>
          <w:rFonts w:ascii="Times New Roman" w:hAnsi="Times New Roman"/>
        </w:rPr>
        <w:t xml:space="preserve">, 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 xml:space="preserve">Neutropénie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 xml:space="preserve">possible agranulocytose, mais non </w:t>
      </w:r>
      <w:r>
        <w:rPr>
          <w:rFonts w:ascii="Times New Roman" w:hAnsi="Times New Roman"/>
          <w:i/>
        </w:rPr>
        <w:t>leucopénie</w:t>
      </w:r>
      <w:r>
        <w:rPr>
          <w:rFonts w:ascii="Times New Roman" w:hAnsi="Times New Roman"/>
          <w:i/>
        </w:rPr>
        <w:t xml:space="preserve"> car les blastes sont comptés comme des GB) 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>Thrombopénie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 xml:space="preserve">Signes de </w:t>
      </w:r>
      <w:r>
        <w:rPr>
          <w:rFonts w:ascii="Times New Roman" w:hAnsi="Times New Roman"/>
          <w:b/>
        </w:rPr>
        <w:t>prolifération</w:t>
      </w:r>
      <w:r>
        <w:rPr>
          <w:rFonts w:ascii="Times New Roman" w:hAnsi="Times New Roman"/>
          <w:b/>
        </w:rPr>
        <w:t xml:space="preserve"> : </w:t>
      </w:r>
      <w:r>
        <w:rPr>
          <w:rFonts w:ascii="Times New Roman" w:hAnsi="Times New Roman"/>
          <w:u w:val="single"/>
        </w:rPr>
        <w:t>Blastes</w:t>
      </w:r>
      <w:r>
        <w:rPr>
          <w:rFonts w:ascii="Times New Roman" w:hAnsi="Times New Roman"/>
        </w:rPr>
        <w:t xml:space="preserve"> circulants avec hiatus </w:t>
      </w:r>
      <w:r>
        <w:rPr>
          <w:rFonts w:ascii="Times New Roman" w:hAnsi="Times New Roman"/>
        </w:rPr>
        <w:t>leucémique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 xml:space="preserve">Nombre de leucocytes pouvant être 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 xml:space="preserve">Abaissé (leucose </w:t>
      </w:r>
      <w:r>
        <w:rPr>
          <w:rFonts w:ascii="Times New Roman" w:hAnsi="Times New Roman"/>
        </w:rPr>
        <w:t>aleucemique</w:t>
      </w:r>
      <w:r>
        <w:rPr>
          <w:rFonts w:ascii="Times New Roman" w:hAnsi="Times New Roman"/>
        </w:rPr>
        <w:t xml:space="preserve">) 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>Normal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(leucose </w:t>
      </w:r>
      <w:r>
        <w:rPr>
          <w:rFonts w:ascii="Times New Roman" w:hAnsi="Times New Roman"/>
        </w:rPr>
        <w:t>subleucemique</w:t>
      </w:r>
      <w:r>
        <w:rPr>
          <w:rFonts w:ascii="Times New Roman" w:hAnsi="Times New Roman"/>
        </w:rPr>
        <w:t>) 4</w:t>
      </w:r>
      <w:r>
        <w:rPr>
          <w:rFonts w:ascii="Times New Roman" w:hAnsi="Times New Roman"/>
          <w:i/>
        </w:rPr>
        <w:t>-10G par litre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 xml:space="preserve">Mais souvent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élevé (leucose </w:t>
      </w:r>
      <w:r>
        <w:rPr>
          <w:rFonts w:ascii="Times New Roman" w:hAnsi="Times New Roman"/>
        </w:rPr>
        <w:t>leucémique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  <w:i/>
        </w:rPr>
        <w:t>jusqu'à 600G/l</w:t>
      </w:r>
    </w:p>
    <w:p>
      <w:pPr>
        <w:pStyle w:val="Heading4"/>
      </w:pPr>
      <w:r>
        <w:rPr/>
        <w:t>Médullogramme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>Envahissement massif par des blastes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(&gt;20%), </w:t>
      </w:r>
      <w:r>
        <w:rPr>
          <w:rFonts w:ascii="Times New Roman" w:hAnsi="Times New Roman"/>
        </w:rPr>
        <w:t>définition</w:t>
      </w:r>
      <w:r>
        <w:rPr>
          <w:rFonts w:ascii="Times New Roman" w:hAnsi="Times New Roman"/>
        </w:rPr>
        <w:t xml:space="preserve"> OMS, </w:t>
      </w:r>
      <w:r>
        <w:rPr>
          <w:rFonts w:ascii="Times New Roman" w:hAnsi="Times New Roman"/>
          <w:i/>
        </w:rPr>
        <w:t xml:space="preserve">selon stade de </w:t>
      </w:r>
      <w:r>
        <w:rPr>
          <w:rFonts w:ascii="Times New Roman" w:hAnsi="Times New Roman"/>
          <w:i/>
        </w:rPr>
        <w:t>découverte</w:t>
      </w:r>
      <w:r>
        <w:rPr>
          <w:rFonts w:ascii="Times New Roman" w:hAnsi="Times New Roman"/>
          <w:i/>
        </w:rPr>
        <w:t>, possible 100%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>Parfois moelle fibrose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>Aspiration ramenant peu de cellules</w:t>
      </w:r>
    </w:p>
    <w:p>
      <w:pPr>
        <w:spacing w:line="480" w:lineRule="auto"/>
        <w:jc w:val="both"/>
        <w:numPr>
          <w:ilvl w:val="3"/>
          <w:numId w:val="19"/>
        </w:numPr>
      </w:pPr>
      <w:r>
        <w:rPr>
          <w:rFonts w:ascii="Times New Roman" w:hAnsi="Times New Roman"/>
        </w:rPr>
        <w:t xml:space="preserve">Diagnostic par biopsie </w:t>
      </w:r>
      <w:r>
        <w:rPr>
          <w:rFonts w:ascii="Times New Roman" w:hAnsi="Times New Roman"/>
        </w:rPr>
        <w:t>ostéo-médullaire</w:t>
      </w:r>
    </w:p>
    <w:p>
      <w:pPr>
        <w:pStyle w:val="Heading4"/>
      </w:pPr>
      <w:r>
        <w:rPr/>
        <w:t xml:space="preserve">Types cytologiques </w:t>
      </w:r>
      <w:r>
        <w:rPr/>
        <w:t>établis</w:t>
      </w:r>
      <w:r>
        <w:rPr/>
        <w:t xml:space="preserve"> sur une </w:t>
      </w:r>
      <w:r>
        <w:rPr/>
        <w:t>série</w:t>
      </w:r>
      <w:r>
        <w:rPr/>
        <w:t xml:space="preserve"> de caractères :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>Cytologiques :</w:t>
      </w:r>
      <w:r>
        <w:rPr>
          <w:rFonts w:ascii="Times New Roman" w:hAnsi="Times New Roman"/>
        </w:rPr>
        <w:t xml:space="preserve"> LA </w:t>
      </w:r>
      <w:r>
        <w:rPr>
          <w:rFonts w:ascii="Times New Roman" w:hAnsi="Times New Roman"/>
        </w:rPr>
        <w:t>myéloïdes</w:t>
      </w:r>
      <w:r>
        <w:rPr>
          <w:rFonts w:ascii="Times New Roman" w:hAnsi="Times New Roman"/>
        </w:rPr>
        <w:t xml:space="preserve"> ou </w:t>
      </w:r>
      <w:r>
        <w:rPr>
          <w:rFonts w:ascii="Times New Roman" w:hAnsi="Times New Roman"/>
        </w:rPr>
        <w:t>lymphoïdes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>Cytogénétique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</w:rPr>
        <w:t>exemple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t(</w:t>
      </w:r>
      <w:r>
        <w:rPr>
          <w:rFonts w:ascii="Times New Roman" w:hAnsi="Times New Roman"/>
        </w:rPr>
        <w:t xml:space="preserve">8,21) </w:t>
      </w:r>
      <w:r>
        <w:rPr>
          <w:rFonts w:ascii="Times New Roman" w:hAnsi="Times New Roman"/>
          <w:i/>
        </w:rPr>
        <w:t xml:space="preserve">chromosome 8 a </w:t>
      </w:r>
      <w:r>
        <w:rPr>
          <w:rFonts w:ascii="Times New Roman" w:hAnsi="Times New Roman"/>
          <w:i/>
        </w:rPr>
        <w:t>échangé</w:t>
      </w:r>
      <w:r>
        <w:rPr>
          <w:rFonts w:ascii="Times New Roman" w:hAnsi="Times New Roman"/>
          <w:i/>
        </w:rPr>
        <w:t xml:space="preserve"> son bras avec celui du 21 TRANSLOCATION, </w:t>
      </w:r>
      <w:r>
        <w:rPr>
          <w:rFonts w:ascii="Times New Roman" w:hAnsi="Times New Roman"/>
        </w:rPr>
        <w:t>inv</w:t>
      </w:r>
      <w:r>
        <w:rPr>
          <w:rFonts w:ascii="Times New Roman" w:hAnsi="Times New Roman"/>
        </w:rPr>
        <w:t xml:space="preserve"> 16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>Immunophenotypiques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exemples :</w:t>
      </w:r>
      <w:r>
        <w:rPr>
          <w:rFonts w:ascii="Times New Roman" w:hAnsi="Times New Roman"/>
        </w:rPr>
        <w:t xml:space="preserve"> [CD3, CD5] =LYMPHOBLASTIQUE T, CD19 : B, CD34</w:t>
      </w:r>
      <w:r>
        <w:rPr>
          <w:rFonts w:ascii="Times New Roman" w:hAnsi="Times New Roman"/>
        </w:rPr>
        <w:t xml:space="preserve"> : haut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progéniteur</w:t>
      </w:r>
      <w:r>
        <w:rPr>
          <w:rFonts w:ascii="Times New Roman" w:hAnsi="Times New Roman"/>
        </w:rPr>
        <w:t xml:space="preserve"> non différencié </w:t>
      </w:r>
    </w:p>
    <w:p>
      <w:pPr>
        <w:spacing w:line="480" w:lineRule="auto"/>
        <w:jc w:val="both"/>
        <w:numPr>
          <w:ilvl w:val="2"/>
          <w:numId w:val="19"/>
        </w:numPr>
      </w:pPr>
      <w:r>
        <w:rPr>
          <w:rFonts w:ascii="Times New Roman" w:hAnsi="Times New Roman"/>
        </w:rPr>
        <w:t>Moléculaires</w:t>
      </w:r>
      <w:r>
        <w:rPr>
          <w:rFonts w:ascii="Times New Roman" w:hAnsi="Times New Roman"/>
        </w:rPr>
        <w:t xml:space="preserve"> exemple AML1</w:t>
      </w:r>
    </w:p>
    <w:p>
      <w:pPr>
        <w:pStyle w:val="Heading2"/>
      </w:pPr>
      <w:r>
        <w:rPr/>
        <w:t>Principes thérapeutiques</w:t>
      </w:r>
      <w:r>
        <w:rPr/>
        <w:t xml:space="preserve"> </w:t>
      </w:r>
    </w:p>
    <w:p>
      <w:pPr>
        <w:pStyle w:val="Heading3"/>
      </w:pPr>
      <w:r>
        <w:rPr/>
        <w:t>Bilan pr</w:t>
      </w:r>
      <w:r>
        <w:rPr/>
        <w:t>é</w:t>
      </w:r>
      <w:r>
        <w:rPr/>
        <w:t>th</w:t>
      </w:r>
      <w:r>
        <w:rPr/>
        <w:t>2</w:t>
      </w:r>
      <w:r>
        <w:rPr/>
        <w:t>rapeutique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 xml:space="preserve">Evaluation </w:t>
      </w:r>
      <w:r>
        <w:rPr>
          <w:rFonts w:ascii="Times New Roman" w:hAnsi="Times New Roman"/>
        </w:rPr>
        <w:t>cardiaque (</w:t>
      </w:r>
      <w:r>
        <w:rPr>
          <w:rFonts w:ascii="Times New Roman" w:hAnsi="Times New Roman"/>
          <w:i/>
        </w:rPr>
        <w:t>cardiotoxicité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médicament</w:t>
      </w:r>
      <w:r>
        <w:rPr>
          <w:rFonts w:ascii="Times New Roman" w:hAnsi="Times New Roman"/>
          <w:i/>
        </w:rPr>
        <w:t xml:space="preserve">) 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 xml:space="preserve">Bilan </w:t>
      </w:r>
      <w:r>
        <w:rPr>
          <w:rFonts w:ascii="Times New Roman" w:hAnsi="Times New Roman"/>
        </w:rPr>
        <w:t xml:space="preserve">pré transfusionnel </w:t>
      </w:r>
      <w:r>
        <w:rPr>
          <w:rFonts w:ascii="Times New Roman" w:hAnsi="Times New Roman"/>
        </w:rPr>
        <w:t xml:space="preserve">: groupage ABO, </w:t>
      </w:r>
      <w:r>
        <w:rPr>
          <w:rFonts w:ascii="Times New Roman" w:hAnsi="Times New Roman"/>
        </w:rPr>
        <w:t>phénotypage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Rhésus</w:t>
      </w:r>
      <w:r>
        <w:rPr>
          <w:rFonts w:ascii="Times New Roman" w:hAnsi="Times New Roman"/>
        </w:rPr>
        <w:t xml:space="preserve"> et Kell, RAI (recherche d'anticorps </w:t>
      </w:r>
      <w:r>
        <w:rPr>
          <w:rFonts w:ascii="Times New Roman" w:hAnsi="Times New Roman"/>
        </w:rPr>
        <w:t>irréguliers</w:t>
      </w:r>
      <w:r>
        <w:rPr>
          <w:rFonts w:ascii="Times New Roman" w:hAnsi="Times New Roman"/>
        </w:rPr>
        <w:t xml:space="preserve">) (tous les autres) 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 xml:space="preserve">Bilan </w:t>
      </w:r>
      <w:r>
        <w:rPr>
          <w:rFonts w:ascii="Times New Roman" w:hAnsi="Times New Roman"/>
        </w:rPr>
        <w:t>métabolique :</w:t>
      </w:r>
      <w:r>
        <w:rPr>
          <w:rFonts w:ascii="Times New Roman" w:hAnsi="Times New Roman"/>
        </w:rPr>
        <w:t xml:space="preserve"> ionogramme, bilan </w:t>
      </w:r>
      <w:r>
        <w:rPr>
          <w:rFonts w:ascii="Times New Roman" w:hAnsi="Times New Roman"/>
        </w:rPr>
        <w:t>rénal</w:t>
      </w:r>
      <w:r>
        <w:rPr>
          <w:rFonts w:ascii="Times New Roman" w:hAnsi="Times New Roman"/>
        </w:rPr>
        <w:t xml:space="preserve">, bilan </w:t>
      </w:r>
      <w:r>
        <w:rPr>
          <w:rFonts w:ascii="Times New Roman" w:hAnsi="Times New Roman"/>
        </w:rPr>
        <w:t>hépatique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calcémie</w:t>
      </w:r>
      <w:r>
        <w:rPr>
          <w:rFonts w:ascii="Times New Roman" w:hAnsi="Times New Roman"/>
        </w:rPr>
        <w:t>, [</w:t>
      </w:r>
      <w:r>
        <w:rPr>
          <w:rFonts w:ascii="Times New Roman" w:hAnsi="Times New Roman"/>
        </w:rPr>
        <w:t>uricémie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LDH] = </w:t>
      </w:r>
      <w:r>
        <w:rPr>
          <w:rFonts w:ascii="Times New Roman" w:hAnsi="Times New Roman"/>
        </w:rPr>
        <w:t xml:space="preserve">traduit la masse tumorale, car destruction de cellules=sortie d'acide urique et LDH </w:t>
      </w:r>
      <w:r>
        <w:rPr>
          <w:rFonts w:ascii="Times New Roman" w:hAnsi="Times New Roman"/>
          <w:i/>
        </w:rPr>
        <w:t>intracellulaire</w:t>
      </w:r>
      <w:r>
        <w:rPr>
          <w:rFonts w:ascii="Times New Roman" w:hAnsi="Times New Roman"/>
        </w:rPr>
        <w:t xml:space="preserve"> dans le plasma. </w:t>
      </w:r>
      <w:r>
        <w:rPr>
          <w:rFonts w:ascii="Times New Roman" w:hAnsi="Times New Roman"/>
          <w:i/>
        </w:rPr>
        <w:t>Rehefa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betsaka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cellules dia </w:t>
      </w:r>
      <w:r>
        <w:rPr>
          <w:rFonts w:ascii="Times New Roman" w:hAnsi="Times New Roman"/>
          <w:i/>
        </w:rPr>
        <w:t>betsaka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koa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potika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>Bilan d'</w:t>
      </w:r>
      <w:r>
        <w:rPr>
          <w:rFonts w:ascii="Times New Roman" w:hAnsi="Times New Roman"/>
        </w:rPr>
        <w:t xml:space="preserve">hémostase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rcch</w:t>
      </w:r>
      <w:r>
        <w:rPr>
          <w:rFonts w:ascii="Times New Roman" w:hAnsi="Times New Roman"/>
        </w:rPr>
        <w:t xml:space="preserve"> CIVD car </w:t>
      </w:r>
      <w:r>
        <w:rPr>
          <w:rFonts w:ascii="Times New Roman" w:hAnsi="Times New Roman"/>
          <w:i/>
        </w:rPr>
        <w:t xml:space="preserve">cellules tumorales produisent </w:t>
      </w:r>
      <w:r>
        <w:rPr>
          <w:rFonts w:ascii="Times New Roman" w:hAnsi="Times New Roman"/>
          <w:i/>
        </w:rPr>
        <w:t>protéines</w:t>
      </w:r>
      <w:r>
        <w:rPr>
          <w:rFonts w:ascii="Times New Roman" w:hAnsi="Times New Roman"/>
          <w:i/>
        </w:rPr>
        <w:t xml:space="preserve"> anormales qui </w:t>
      </w:r>
      <w:r>
        <w:rPr>
          <w:rFonts w:ascii="Times New Roman" w:hAnsi="Times New Roman"/>
          <w:i/>
        </w:rPr>
        <w:t>déclenchent</w:t>
      </w:r>
      <w:r>
        <w:rPr>
          <w:rFonts w:ascii="Times New Roman" w:hAnsi="Times New Roman"/>
          <w:i/>
        </w:rPr>
        <w:t xml:space="preserve"> coag) 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>Bilan infectieux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ECBU, crachats, </w:t>
      </w:r>
      <w:r>
        <w:rPr>
          <w:rFonts w:ascii="Times New Roman" w:hAnsi="Times New Roman"/>
        </w:rPr>
        <w:t>hémoculture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>Etude du LCR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>Typage HLA</w:t>
      </w:r>
    </w:p>
    <w:p>
      <w:pPr>
        <w:spacing w:line="480" w:lineRule="auto"/>
        <w:jc w:val="both"/>
        <w:numPr>
          <w:ilvl w:val="1"/>
          <w:numId w:val="20"/>
        </w:numPr>
      </w:pPr>
      <w:r>
        <w:rPr>
          <w:rFonts w:ascii="Times New Roman" w:hAnsi="Times New Roman"/>
        </w:rPr>
        <w:t xml:space="preserve">Conservation du </w:t>
      </w:r>
      <w:r>
        <w:rPr>
          <w:rFonts w:ascii="Times New Roman" w:hAnsi="Times New Roman"/>
        </w:rPr>
        <w:t xml:space="preserve">sperme </w:t>
      </w:r>
      <w:r>
        <w:rPr>
          <w:rFonts w:ascii="Times New Roman" w:hAnsi="Times New Roman"/>
          <w:i/>
        </w:rPr>
        <w:t>satria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mety</w:t>
      </w:r>
      <w:r>
        <w:rPr>
          <w:rFonts w:ascii="Times New Roman" w:hAnsi="Times New Roman"/>
          <w:i/>
        </w:rPr>
        <w:t xml:space="preserve"> ho </w:t>
      </w:r>
      <w:r>
        <w:rPr>
          <w:rFonts w:ascii="Times New Roman" w:hAnsi="Times New Roman"/>
          <w:i/>
        </w:rPr>
        <w:t>simba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rehefa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hamono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blastes</w:t>
      </w:r>
    </w:p>
    <w:p>
      <w:pPr>
        <w:pStyle w:val="Heading3"/>
      </w:pPr>
      <w:r>
        <w:rPr/>
        <w:t>Traitement spécifique :</w:t>
      </w:r>
    </w:p>
    <w:p>
      <w:pPr>
        <w:pStyle w:val="Heading4"/>
      </w:pPr>
      <w:r>
        <w:rPr/>
        <w:t>Chimiothérapie</w:t>
      </w:r>
      <w:r>
        <w:rPr/>
        <w:t xml:space="preserve"> </w:t>
      </w:r>
      <w:r>
        <w:rPr/>
        <w:t>d’induction :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 xml:space="preserve">Objectif du </w:t>
      </w:r>
      <w:r>
        <w:rPr>
          <w:rFonts w:ascii="Times New Roman" w:hAnsi="Times New Roman"/>
        </w:rPr>
        <w:t>traitement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rémission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complète</w:t>
      </w:r>
      <w:r>
        <w:rPr>
          <w:rFonts w:ascii="Times New Roman" w:hAnsi="Times New Roman"/>
        </w:rPr>
        <w:t xml:space="preserve"> (aspect </w:t>
      </w:r>
      <w:r>
        <w:rPr>
          <w:rFonts w:ascii="Times New Roman" w:hAnsi="Times New Roman"/>
        </w:rPr>
        <w:t>cytologiquement</w:t>
      </w:r>
      <w:r>
        <w:rPr>
          <w:rFonts w:ascii="Times New Roman" w:hAnsi="Times New Roman"/>
        </w:rPr>
        <w:t xml:space="preserve"> normal du sang et de la moelle) 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  <w:i/>
        </w:rPr>
        <w:t>Potehina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toutes les cellules anormales</w:t>
      </w:r>
      <w:r>
        <w:rPr>
          <w:rFonts w:ascii="Times New Roman" w:hAnsi="Times New Roman"/>
          <w:i/>
        </w:rPr>
        <w:t xml:space="preserve"> qui circulent</w:t>
      </w:r>
    </w:p>
    <w:p>
      <w:pPr>
        <w:pStyle w:val="Heading4"/>
      </w:pPr>
      <w:r>
        <w:rPr/>
        <w:t>Chimiothérapie</w:t>
      </w:r>
      <w:r>
        <w:rPr/>
        <w:t xml:space="preserve"> de consolidation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>Objectif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réduction</w:t>
      </w:r>
      <w:r>
        <w:rPr>
          <w:rFonts w:ascii="Times New Roman" w:hAnsi="Times New Roman"/>
        </w:rPr>
        <w:t xml:space="preserve"> au maximum de la masse </w:t>
      </w:r>
      <w:r>
        <w:rPr>
          <w:rFonts w:ascii="Times New Roman" w:hAnsi="Times New Roman"/>
        </w:rPr>
        <w:t>résiduelle</w:t>
      </w:r>
      <w:r>
        <w:rPr>
          <w:rFonts w:ascii="Times New Roman" w:hAnsi="Times New Roman"/>
        </w:rPr>
        <w:t xml:space="preserve"> tumorale afin de </w:t>
      </w:r>
      <w:r>
        <w:rPr>
          <w:rFonts w:ascii="Times New Roman" w:hAnsi="Times New Roman"/>
        </w:rPr>
        <w:t>prévenir</w:t>
      </w:r>
      <w:r>
        <w:rPr>
          <w:rFonts w:ascii="Times New Roman" w:hAnsi="Times New Roman"/>
        </w:rPr>
        <w:t xml:space="preserve"> les risques de </w:t>
      </w:r>
      <w:r>
        <w:rPr>
          <w:rFonts w:ascii="Times New Roman" w:hAnsi="Times New Roman"/>
        </w:rPr>
        <w:t>récidives</w:t>
      </w:r>
    </w:p>
    <w:p>
      <w:pPr>
        <w:spacing w:line="480" w:lineRule="auto"/>
        <w:jc w:val="both"/>
        <w:numPr>
          <w:ilvl w:val="3"/>
          <w:numId w:val="20"/>
        </w:numPr>
      </w:pPr>
      <w:r>
        <w:rPr>
          <w:rFonts w:ascii="Times New Roman" w:hAnsi="Times New Roman"/>
        </w:rPr>
        <w:t>LAM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les cures de consolidation sont lourdes en nombre </w:t>
      </w:r>
      <w:r>
        <w:rPr>
          <w:rFonts w:ascii="Times New Roman" w:hAnsi="Times New Roman"/>
        </w:rPr>
        <w:t>réduit (</w:t>
      </w:r>
      <w:r>
        <w:rPr>
          <w:rFonts w:ascii="Times New Roman" w:hAnsi="Times New Roman"/>
        </w:rPr>
        <w:t xml:space="preserve">2 cures) </w:t>
      </w:r>
    </w:p>
    <w:p>
      <w:pPr>
        <w:spacing w:line="480" w:lineRule="auto"/>
        <w:jc w:val="both"/>
        <w:numPr>
          <w:ilvl w:val="3"/>
          <w:numId w:val="20"/>
        </w:numPr>
      </w:pPr>
      <w:r>
        <w:rPr>
          <w:rFonts w:ascii="Times New Roman" w:hAnsi="Times New Roman"/>
        </w:rPr>
        <w:t>LAL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les cures sont plus </w:t>
      </w:r>
      <w:r>
        <w:rPr>
          <w:rFonts w:ascii="Times New Roman" w:hAnsi="Times New Roman"/>
        </w:rPr>
        <w:t>légères</w:t>
      </w:r>
      <w:r>
        <w:rPr>
          <w:rFonts w:ascii="Times New Roman" w:hAnsi="Times New Roman"/>
        </w:rPr>
        <w:t xml:space="preserve"> mais </w:t>
      </w:r>
      <w:r>
        <w:rPr>
          <w:rFonts w:ascii="Times New Roman" w:hAnsi="Times New Roman"/>
        </w:rPr>
        <w:t>répétées</w:t>
      </w:r>
      <w:r>
        <w:rPr>
          <w:rFonts w:ascii="Times New Roman" w:hAnsi="Times New Roman"/>
        </w:rPr>
        <w:t xml:space="preserve"> et </w:t>
      </w:r>
      <w:r>
        <w:rPr>
          <w:rFonts w:ascii="Times New Roman" w:hAnsi="Times New Roman"/>
        </w:rPr>
        <w:t>prolongées</w:t>
      </w:r>
      <w:r>
        <w:rPr>
          <w:rFonts w:ascii="Times New Roman" w:hAnsi="Times New Roman"/>
        </w:rPr>
        <w:t xml:space="preserve"> sur 2-3 ans</w:t>
      </w:r>
    </w:p>
    <w:p>
      <w:pPr>
        <w:pStyle w:val="Heading4"/>
      </w:pPr>
      <w:r>
        <w:rPr/>
        <w:t>Intensification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>Par greffe de moelle osseuse en fonction du pronostic</w:t>
      </w:r>
    </w:p>
    <w:p>
      <w:pPr>
        <w:pStyle w:val="Heading3"/>
      </w:pPr>
      <w:r>
        <w:rPr/>
        <w:t xml:space="preserve">Traitements adjuvants (symptomatiques) 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 xml:space="preserve">Hyperhydratation alcaline et </w:t>
      </w:r>
      <w:r>
        <w:rPr>
          <w:rFonts w:ascii="Times New Roman" w:hAnsi="Times New Roman"/>
        </w:rPr>
        <w:t>hypouricemiant</w:t>
      </w:r>
      <w:r>
        <w:rPr>
          <w:rFonts w:ascii="Times New Roman" w:hAnsi="Times New Roman"/>
        </w:rPr>
        <w:t xml:space="preserve"> (car syndrome de lyse blastique </w:t>
      </w:r>
      <w:r>
        <w:rPr>
          <w:rFonts w:ascii="Times New Roman" w:hAnsi="Times New Roman"/>
          <w:i/>
        </w:rPr>
        <w:t>qui entraine une acidose et fait augmenter le taux plasmatique d'acide urique</w:t>
      </w:r>
      <w:r>
        <w:rPr>
          <w:rFonts w:ascii="Times New Roman" w:hAnsi="Times New Roman"/>
        </w:rPr>
        <w:t xml:space="preserve">) 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>Transfusion (</w:t>
      </w:r>
      <w:r>
        <w:rPr>
          <w:rFonts w:ascii="Times New Roman" w:hAnsi="Times New Roman"/>
          <w:i/>
        </w:rPr>
        <w:t xml:space="preserve">car en état d'aplasie) </w:t>
      </w:r>
      <w:r>
        <w:rPr>
          <w:rFonts w:ascii="Times New Roman" w:hAnsi="Times New Roman"/>
        </w:rPr>
        <w:t>: GR et plaquettes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>Antibiotiques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de couverture car </w:t>
      </w:r>
      <w:r>
        <w:rPr>
          <w:rFonts w:ascii="Times New Roman" w:hAnsi="Times New Roman"/>
          <w:i/>
        </w:rPr>
        <w:t>déficit</w:t>
      </w:r>
      <w:r>
        <w:rPr>
          <w:rFonts w:ascii="Times New Roman" w:hAnsi="Times New Roman"/>
          <w:i/>
        </w:rPr>
        <w:t xml:space="preserve"> immunitaire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 xml:space="preserve">Nutrition parentérale </w:t>
      </w:r>
    </w:p>
    <w:p>
      <w:pPr>
        <w:pStyle w:val="Heading3"/>
      </w:pPr>
      <w:r>
        <w:rPr/>
        <w:t>Urgences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 xml:space="preserve">Formes </w:t>
      </w:r>
      <w:r>
        <w:rPr>
          <w:rFonts w:ascii="Times New Roman" w:hAnsi="Times New Roman"/>
        </w:rPr>
        <w:t>hyperleucocytaires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risque de </w:t>
      </w:r>
      <w:r>
        <w:rPr>
          <w:rFonts w:ascii="Times New Roman" w:hAnsi="Times New Roman"/>
        </w:rPr>
        <w:t>leucostase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cérébrale</w:t>
      </w:r>
      <w:r>
        <w:rPr>
          <w:rFonts w:ascii="Times New Roman" w:hAnsi="Times New Roman"/>
        </w:rPr>
        <w:t xml:space="preserve"> ou pulmonaire</w:t>
      </w:r>
    </w:p>
    <w:p>
      <w:pPr>
        <w:spacing w:line="480" w:lineRule="auto"/>
        <w:jc w:val="both"/>
        <w:numPr>
          <w:ilvl w:val="3"/>
          <w:numId w:val="20"/>
        </w:numPr>
      </w:pPr>
      <w:r>
        <w:rPr>
          <w:rFonts w:ascii="Times New Roman" w:hAnsi="Times New Roman"/>
        </w:rPr>
        <w:t>Cytaphérèse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échange transfusionnel</w:t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>Forme avec CIVD</w:t>
      </w:r>
      <w:r>
        <w:rPr>
          <w:rFonts w:ascii="Times New Roman" w:hAnsi="Times New Roman"/>
        </w:rPr>
        <w:tab/>
      </w:r>
    </w:p>
    <w:p>
      <w:pPr>
        <w:spacing w:line="480" w:lineRule="auto"/>
        <w:jc w:val="both"/>
        <w:numPr>
          <w:ilvl w:val="2"/>
          <w:numId w:val="20"/>
        </w:numPr>
      </w:pPr>
      <w:r>
        <w:rPr>
          <w:rFonts w:ascii="Times New Roman" w:hAnsi="Times New Roman"/>
        </w:rPr>
        <w:t xml:space="preserve">Complications infectieuses d'emblée </w:t>
      </w:r>
    </w:p>
    <w:p>
      <w:pPr>
        <w:pStyle w:val="Heading2"/>
      </w:pPr>
      <w:r>
        <w:rPr/>
        <w:t>CLASSIFICATION LEUCEMIES AIGUES LYMPHOBLASTIQUES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1"/>
          </w:tcPr>
          <w:p/>
          <w:p>
            <w:pPr>
              <w:spacing w:line="480" w:lineRule="auto"/>
              <w:jc w:val="both"/>
            </w:pPr>
            <w:r>
              <w:rPr>
                <w:rFonts w:ascii="Times New Roman" w:hAnsi="Times New Roman"/>
                <w:b w:val="0"/>
              </w:rPr>
              <w:t xml:space="preserve">CLASSIFICATION </w:t>
            </w:r>
            <w:r>
              <w:rPr>
                <w:rFonts w:ascii="Times New Roman" w:hAnsi="Times New Roman"/>
                <w:b w:val="0"/>
              </w:rPr>
              <w:t>FAB(</w:t>
            </w:r>
            <w:r>
              <w:rPr>
                <w:rFonts w:ascii="Times New Roman" w:hAnsi="Times New Roman"/>
                <w:b w:val="0"/>
              </w:rPr>
              <w:t xml:space="preserve">French American British) </w:t>
            </w:r>
          </w:p>
        </w:tc>
        <w:tc>
          <w:tcPr>
            <w:tcW w:type="dxa" w:w="4811"/>
          </w:tcPr>
          <w:p/>
          <w:p>
            <w:pPr>
              <w:spacing w:line="480" w:lineRule="auto"/>
              <w:jc w:val="both"/>
            </w:pPr>
            <w:r>
              <w:rPr>
                <w:rFonts w:ascii="Times New Roman" w:hAnsi="Times New Roman"/>
                <w:b w:val="0"/>
              </w:rPr>
              <w:t>CLASSIFICATION OMS</w:t>
            </w:r>
          </w:p>
        </w:tc>
      </w:tr>
      <w:tr>
        <w:tc>
          <w:tcPr>
            <w:tcW w:type="dxa" w:w="4811"/>
          </w:tcPr>
          <w:p/>
          <w:p>
            <w:pPr>
              <w:spacing w:line="480" w:lineRule="auto"/>
              <w:jc w:val="both"/>
              <w:numPr>
                <w:ilvl w:val="0"/>
                <w:numId w:val="21"/>
              </w:numPr>
            </w:pPr>
            <w:r>
              <w:rPr>
                <w:rFonts w:ascii="Times New Roman" w:hAnsi="Times New Roman"/>
              </w:rPr>
              <w:t>LAL 1</w:t>
            </w:r>
          </w:p>
          <w:p>
            <w:pPr>
              <w:spacing w:line="480" w:lineRule="auto"/>
              <w:jc w:val="both"/>
              <w:numPr>
                <w:ilvl w:val="0"/>
                <w:numId w:val="21"/>
              </w:numPr>
            </w:pPr>
            <w:r>
              <w:rPr>
                <w:rFonts w:ascii="Times New Roman" w:hAnsi="Times New Roman"/>
              </w:rPr>
              <w:t>LAL 2</w:t>
            </w:r>
          </w:p>
          <w:p>
            <w:pPr>
              <w:spacing w:line="480" w:lineRule="auto"/>
              <w:jc w:val="both"/>
              <w:numPr>
                <w:ilvl w:val="0"/>
                <w:numId w:val="21"/>
              </w:numPr>
            </w:pPr>
            <w:r>
              <w:rPr>
                <w:rFonts w:ascii="Times New Roman" w:hAnsi="Times New Roman"/>
              </w:rPr>
              <w:t xml:space="preserve">LAL </w:t>
            </w:r>
            <w:r>
              <w:rPr>
                <w:rFonts w:ascii="Times New Roman" w:hAnsi="Times New Roman"/>
              </w:rPr>
              <w:t>3:</w:t>
            </w:r>
            <w:r>
              <w:rPr>
                <w:rFonts w:ascii="Times New Roman" w:hAnsi="Times New Roman"/>
              </w:rPr>
              <w:t xml:space="preserve"> Burkitt like</w:t>
            </w:r>
          </w:p>
        </w:tc>
        <w:tc>
          <w:tcPr>
            <w:tcW w:type="dxa" w:w="4811"/>
          </w:tcPr>
          <w:p/>
          <w:p>
            <w:pPr>
              <w:spacing w:line="480" w:lineRule="auto"/>
              <w:jc w:val="both"/>
              <w:numPr>
                <w:ilvl w:val="0"/>
                <w:numId w:val="22"/>
              </w:numPr>
            </w:pPr>
            <w:r>
              <w:rPr>
                <w:rFonts w:ascii="Times New Roman" w:hAnsi="Times New Roman"/>
              </w:rPr>
              <w:t xml:space="preserve">LAL </w:t>
            </w:r>
            <w:r>
              <w:rPr>
                <w:rFonts w:ascii="Times New Roman" w:hAnsi="Times New Roman"/>
              </w:rPr>
              <w:t>pre</w:t>
            </w:r>
            <w:r>
              <w:rPr>
                <w:rFonts w:ascii="Times New Roman" w:hAnsi="Times New Roman"/>
              </w:rPr>
              <w:t xml:space="preserve"> T, 15-25%</w:t>
            </w:r>
          </w:p>
          <w:p>
            <w:pPr>
              <w:spacing w:line="480" w:lineRule="auto"/>
              <w:jc w:val="both"/>
              <w:numPr>
                <w:ilvl w:val="0"/>
                <w:numId w:val="22"/>
              </w:numPr>
            </w:pPr>
            <w:r>
              <w:rPr>
                <w:rFonts w:ascii="Times New Roman" w:hAnsi="Times New Roman"/>
              </w:rPr>
              <w:t xml:space="preserve">LAL </w:t>
            </w:r>
            <w:r>
              <w:rPr>
                <w:rFonts w:ascii="Times New Roman" w:hAnsi="Times New Roman"/>
              </w:rPr>
              <w:t>pre</w:t>
            </w:r>
            <w:r>
              <w:rPr>
                <w:rFonts w:ascii="Times New Roman" w:hAnsi="Times New Roman"/>
              </w:rPr>
              <w:t xml:space="preserve"> B 75%</w:t>
            </w:r>
          </w:p>
          <w:p>
            <w:pPr>
              <w:spacing w:line="480" w:lineRule="auto"/>
              <w:jc w:val="both"/>
              <w:numPr>
                <w:ilvl w:val="0"/>
                <w:numId w:val="22"/>
              </w:numPr>
            </w:pPr>
            <w:r>
              <w:rPr>
                <w:rFonts w:ascii="Times New Roman" w:hAnsi="Times New Roman"/>
              </w:rPr>
              <w:t>LAL B mature type Burkitt, 5%</w:t>
            </w:r>
          </w:p>
        </w:tc>
      </w:tr>
    </w:tbl>
    <w:p>
      <w:pPr>
        <w:pStyle w:val="Subtitle"/>
      </w:pPr>
    </w:p>
    <w:p>
      <w:pPr/>
    </w:p>
    <w:p>
      <w:pPr>
        <w:pStyle w:val="Heading3"/>
      </w:pPr>
      <w:r>
        <w:rPr/>
        <w:t>Leucémies</w:t>
      </w:r>
      <w:r>
        <w:rPr/>
        <w:t xml:space="preserve"> aigues lymphoblastiques</w:t>
      </w:r>
    </w:p>
    <w:p>
      <w:pPr>
        <w:spacing w:line="480" w:lineRule="auto"/>
        <w:jc w:val="both"/>
        <w:numPr>
          <w:ilvl w:val="0"/>
          <w:numId w:val="23"/>
        </w:numPr>
      </w:pPr>
      <w:r>
        <w:rPr>
          <w:rFonts w:ascii="Times New Roman" w:hAnsi="Times New Roman"/>
        </w:rPr>
        <w:t xml:space="preserve">80% des </w:t>
      </w:r>
      <w:r>
        <w:rPr>
          <w:rFonts w:ascii="Times New Roman" w:hAnsi="Times New Roman"/>
        </w:rPr>
        <w:t>leucémies</w:t>
      </w:r>
      <w:r>
        <w:rPr>
          <w:rFonts w:ascii="Times New Roman" w:hAnsi="Times New Roman"/>
        </w:rPr>
        <w:t xml:space="preserve"> de l'enfant</w:t>
      </w:r>
    </w:p>
    <w:p>
      <w:pPr>
        <w:spacing w:line="480" w:lineRule="auto"/>
        <w:jc w:val="both"/>
        <w:numPr>
          <w:ilvl w:val="0"/>
          <w:numId w:val="23"/>
        </w:numPr>
      </w:pPr>
      <w:r>
        <w:rPr>
          <w:rFonts w:ascii="Times New Roman" w:hAnsi="Times New Roman"/>
        </w:rPr>
        <w:t>LAL de l'enfant a un meilleur pronostic que chez l'adulte</w:t>
      </w:r>
    </w:p>
    <w:p>
      <w:pPr>
        <w:spacing w:line="480" w:lineRule="auto"/>
        <w:jc w:val="both"/>
        <w:numPr>
          <w:ilvl w:val="0"/>
          <w:numId w:val="23"/>
        </w:numPr>
      </w:pPr>
      <w:r>
        <w:rPr>
          <w:rFonts w:ascii="Times New Roman" w:hAnsi="Times New Roman"/>
        </w:rPr>
        <w:t>Clinique</w:t>
      </w:r>
    </w:p>
    <w:p>
      <w:pPr>
        <w:spacing w:line="480" w:lineRule="auto"/>
        <w:jc w:val="both"/>
        <w:numPr>
          <w:ilvl w:val="1"/>
          <w:numId w:val="23"/>
        </w:numPr>
      </w:pPr>
      <w:r>
        <w:rPr>
          <w:rFonts w:ascii="Times New Roman" w:hAnsi="Times New Roman"/>
        </w:rPr>
        <w:t>ADP+++</w:t>
      </w:r>
    </w:p>
    <w:p>
      <w:pPr>
        <w:spacing w:line="480" w:lineRule="auto"/>
        <w:jc w:val="both"/>
        <w:numPr>
          <w:ilvl w:val="1"/>
          <w:numId w:val="23"/>
        </w:numPr>
      </w:pPr>
      <w:r>
        <w:rPr>
          <w:rFonts w:ascii="Times New Roman" w:hAnsi="Times New Roman"/>
        </w:rPr>
        <w:t>Splénomégalie</w:t>
      </w:r>
    </w:p>
    <w:p>
      <w:pPr>
        <w:spacing w:line="480" w:lineRule="auto"/>
        <w:jc w:val="both"/>
        <w:numPr>
          <w:ilvl w:val="1"/>
          <w:numId w:val="23"/>
        </w:numPr>
      </w:pPr>
      <w:r>
        <w:rPr>
          <w:rFonts w:ascii="Times New Roman" w:hAnsi="Times New Roman"/>
        </w:rPr>
        <w:t>Atteinte du SN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(surtout En les rechutes où il y a </w:t>
      </w:r>
      <w:r>
        <w:rPr>
          <w:rFonts w:ascii="Times New Roman" w:hAnsi="Times New Roman"/>
        </w:rPr>
        <w:t>présence</w:t>
      </w:r>
      <w:r>
        <w:rPr>
          <w:rFonts w:ascii="Times New Roman" w:hAnsi="Times New Roman"/>
        </w:rPr>
        <w:t xml:space="preserve"> de blastes dans le LCR) </w:t>
      </w:r>
    </w:p>
    <w:p>
      <w:pPr>
        <w:spacing w:line="480" w:lineRule="auto"/>
        <w:jc w:val="both"/>
        <w:numPr>
          <w:ilvl w:val="1"/>
          <w:numId w:val="23"/>
        </w:numPr>
      </w:pPr>
      <w:r>
        <w:rPr>
          <w:rFonts w:ascii="Times New Roman" w:hAnsi="Times New Roman"/>
        </w:rPr>
        <w:t>Douleurs osseuses</w:t>
      </w:r>
    </w:p>
    <w:p>
      <w:pPr>
        <w:spacing w:line="480" w:lineRule="auto"/>
        <w:jc w:val="both"/>
        <w:numPr>
          <w:ilvl w:val="1"/>
          <w:numId w:val="23"/>
        </w:numPr>
      </w:pPr>
      <w:r>
        <w:rPr>
          <w:rFonts w:ascii="Times New Roman" w:hAnsi="Times New Roman"/>
        </w:rPr>
        <w:t xml:space="preserve">Localisation ovarienne et testiculaire en </w:t>
      </w:r>
      <w:r>
        <w:rPr>
          <w:rFonts w:ascii="Times New Roman" w:hAnsi="Times New Roman"/>
        </w:rPr>
        <w:t>récidive</w:t>
      </w:r>
    </w:p>
    <w:p>
      <w:pPr>
        <w:pStyle w:val="Heading4"/>
      </w:pPr>
      <w:r>
        <w:rPr/>
        <w:t>TRAITEMENT</w:t>
      </w:r>
    </w:p>
    <w:p>
      <w:pPr>
        <w:pStyle w:val="Heading5"/>
      </w:pPr>
      <w:r>
        <w:rPr/>
        <w:t xml:space="preserve">INDUCTION </w:t>
      </w:r>
    </w:p>
    <w:p>
      <w:pPr>
        <w:spacing w:line="480" w:lineRule="auto"/>
        <w:jc w:val="both"/>
        <w:numPr>
          <w:ilvl w:val="0"/>
          <w:numId w:val="24"/>
        </w:numPr>
      </w:pPr>
      <w:r>
        <w:rPr>
          <w:rFonts w:ascii="Times New Roman" w:hAnsi="Times New Roman"/>
        </w:rPr>
        <w:t>Corticothérapie</w:t>
      </w:r>
    </w:p>
    <w:p>
      <w:pPr>
        <w:spacing w:line="480" w:lineRule="auto"/>
        <w:jc w:val="both"/>
        <w:numPr>
          <w:ilvl w:val="0"/>
          <w:numId w:val="24"/>
        </w:numPr>
      </w:pPr>
      <w:r>
        <w:rPr>
          <w:rFonts w:ascii="Times New Roman" w:hAnsi="Times New Roman"/>
        </w:rPr>
        <w:t xml:space="preserve">+ vincristine, Cyclophosphamide, </w:t>
      </w:r>
      <w:r>
        <w:rPr>
          <w:rFonts w:ascii="Times New Roman" w:hAnsi="Times New Roman"/>
        </w:rPr>
        <w:t>Donorubicine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Asparaginase</w:t>
      </w:r>
      <w:r>
        <w:rPr>
          <w:rFonts w:ascii="Times New Roman" w:hAnsi="Times New Roman"/>
        </w:rPr>
        <w:t xml:space="preserve"> En </w:t>
      </w:r>
      <w:r>
        <w:rPr>
          <w:rFonts w:ascii="Times New Roman" w:hAnsi="Times New Roman"/>
        </w:rPr>
        <w:t>séquentiel</w:t>
      </w:r>
    </w:p>
    <w:p>
      <w:pPr>
        <w:spacing w:line="480" w:lineRule="auto"/>
        <w:jc w:val="both"/>
        <w:numPr>
          <w:ilvl w:val="0"/>
          <w:numId w:val="24"/>
        </w:numPr>
      </w:pPr>
      <w:r>
        <w:rPr>
          <w:rFonts w:ascii="Times New Roman" w:hAnsi="Times New Roman"/>
        </w:rPr>
        <w:t xml:space="preserve">Conséquences </w:t>
      </w:r>
      <w:r>
        <w:rPr>
          <w:rFonts w:ascii="Times New Roman" w:hAnsi="Times New Roman"/>
        </w:rPr>
        <w:t xml:space="preserve">: </w:t>
      </w:r>
    </w:p>
    <w:p>
      <w:pPr>
        <w:spacing w:line="480" w:lineRule="auto"/>
        <w:jc w:val="both"/>
        <w:numPr>
          <w:ilvl w:val="1"/>
          <w:numId w:val="24"/>
        </w:numPr>
      </w:pPr>
      <w:r>
        <w:rPr>
          <w:rFonts w:ascii="Times New Roman" w:hAnsi="Times New Roman"/>
        </w:rPr>
        <w:t>Rémission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toutes les blastes sont </w:t>
      </w:r>
      <w:r>
        <w:rPr>
          <w:rFonts w:ascii="Times New Roman" w:hAnsi="Times New Roman"/>
          <w:i/>
        </w:rPr>
        <w:t>détruites</w:t>
      </w:r>
    </w:p>
    <w:p>
      <w:pPr>
        <w:spacing w:line="480" w:lineRule="auto"/>
        <w:jc w:val="both"/>
        <w:numPr>
          <w:ilvl w:val="1"/>
          <w:numId w:val="24"/>
        </w:numPr>
      </w:pPr>
      <w:r>
        <w:rPr>
          <w:rFonts w:ascii="Times New Roman" w:hAnsi="Times New Roman"/>
        </w:rPr>
        <w:t>Aplasie peu profonde et courte</w:t>
      </w:r>
    </w:p>
    <w:p>
      <w:pPr>
        <w:spacing w:line="480" w:lineRule="auto"/>
        <w:numPr>
          <w:ilvl w:val="1"/>
          <w:numId w:val="24"/>
        </w:numPr>
      </w:pPr>
      <w:r>
        <w:rPr>
          <w:rFonts w:ascii="Times New Roman" w:hAnsi="Times New Roman"/>
        </w:rPr>
        <w:t xml:space="preserve">Complications infectieuses et </w:t>
      </w:r>
      <w:r>
        <w:rPr>
          <w:rFonts w:ascii="Times New Roman" w:hAnsi="Times New Roman"/>
        </w:rPr>
        <w:t>hémorragiques</w:t>
      </w:r>
      <w:r>
        <w:rPr>
          <w:rFonts w:ascii="Times New Roman" w:hAnsi="Times New Roman"/>
        </w:rPr>
        <w:t xml:space="preserve"> prévenues par </w:t>
      </w:r>
      <w:r>
        <w:rPr>
          <w:rFonts w:ascii="Times New Roman" w:hAnsi="Times New Roman"/>
          <w:b/>
        </w:rPr>
        <w:t>antibiothérapie</w:t>
      </w:r>
      <w:r>
        <w:rPr>
          <w:rFonts w:ascii="Times New Roman" w:hAnsi="Times New Roman"/>
          <w:b/>
        </w:rPr>
        <w:t xml:space="preserve"> et par transfusion</w:t>
      </w:r>
    </w:p>
    <w:p>
      <w:pPr>
        <w:pStyle w:val="Heading5"/>
      </w:pPr>
      <w:r>
        <w:rPr/>
        <w:t>CONSOLIDATION</w:t>
      </w:r>
    </w:p>
    <w:p>
      <w:pPr>
        <w:spacing w:line="480" w:lineRule="auto"/>
        <w:jc w:val="both"/>
        <w:numPr>
          <w:ilvl w:val="0"/>
          <w:numId w:val="25"/>
        </w:numPr>
      </w:pPr>
      <w:r>
        <w:rPr>
          <w:rFonts w:ascii="Times New Roman" w:hAnsi="Times New Roman"/>
        </w:rPr>
        <w:t xml:space="preserve">6-Mercaptopurine + </w:t>
      </w:r>
      <w:r>
        <w:rPr>
          <w:rFonts w:ascii="Times New Roman" w:hAnsi="Times New Roman"/>
        </w:rPr>
        <w:t>méthotrexate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asparaginase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endoxan</w:t>
      </w:r>
    </w:p>
    <w:p>
      <w:pPr>
        <w:spacing w:line="480" w:lineRule="auto"/>
        <w:jc w:val="both"/>
        <w:numPr>
          <w:ilvl w:val="0"/>
          <w:numId w:val="25"/>
        </w:numPr>
      </w:pPr>
      <w:r>
        <w:rPr>
          <w:rFonts w:ascii="Times New Roman" w:hAnsi="Times New Roman"/>
        </w:rPr>
        <w:t>Chimiothérapie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intrarachidienne</w:t>
      </w:r>
      <w:r>
        <w:rPr>
          <w:rFonts w:ascii="Times New Roman" w:hAnsi="Times New Roman"/>
        </w:rPr>
        <w:t xml:space="preserve"> associée : injection </w:t>
      </w:r>
      <w:r>
        <w:rPr>
          <w:rFonts w:ascii="Times New Roman" w:hAnsi="Times New Roman"/>
        </w:rPr>
        <w:t>intrathécale</w:t>
      </w:r>
      <w:r>
        <w:rPr>
          <w:rFonts w:ascii="Times New Roman" w:hAnsi="Times New Roman"/>
        </w:rPr>
        <w:t xml:space="preserve"> comme lors PL</w:t>
      </w:r>
    </w:p>
    <w:p>
      <w:pPr>
        <w:spacing w:line="480" w:lineRule="auto"/>
        <w:jc w:val="both"/>
        <w:numPr>
          <w:ilvl w:val="0"/>
          <w:numId w:val="25"/>
        </w:numPr>
      </w:pPr>
      <w:r>
        <w:rPr>
          <w:rFonts w:ascii="Times New Roman" w:hAnsi="Times New Roman"/>
        </w:rPr>
        <w:t>En cas de Rechute</w:t>
      </w:r>
    </w:p>
    <w:p>
      <w:pPr>
        <w:spacing w:line="480" w:lineRule="auto"/>
        <w:jc w:val="both"/>
        <w:numPr>
          <w:ilvl w:val="1"/>
          <w:numId w:val="25"/>
        </w:numPr>
      </w:pPr>
      <w:r>
        <w:rPr>
          <w:rFonts w:ascii="Times New Roman" w:hAnsi="Times New Roman"/>
        </w:rPr>
        <w:t xml:space="preserve">Soit on utilise la </w:t>
      </w:r>
      <w:r>
        <w:rPr>
          <w:rFonts w:ascii="Times New Roman" w:hAnsi="Times New Roman"/>
        </w:rPr>
        <w:t>chimiothérapie</w:t>
      </w:r>
      <w:r>
        <w:rPr>
          <w:rFonts w:ascii="Times New Roman" w:hAnsi="Times New Roman"/>
        </w:rPr>
        <w:t xml:space="preserve"> initiale</w:t>
      </w:r>
    </w:p>
    <w:p>
      <w:pPr>
        <w:spacing w:line="480" w:lineRule="auto"/>
        <w:jc w:val="both"/>
        <w:numPr>
          <w:ilvl w:val="1"/>
          <w:numId w:val="25"/>
        </w:numPr>
      </w:pPr>
      <w:r>
        <w:rPr>
          <w:rFonts w:ascii="Times New Roman" w:hAnsi="Times New Roman"/>
        </w:rPr>
        <w:t xml:space="preserve">Soit de nouvelles </w:t>
      </w:r>
      <w:r>
        <w:rPr>
          <w:rFonts w:ascii="Times New Roman" w:hAnsi="Times New Roman"/>
        </w:rPr>
        <w:t>molécules</w:t>
      </w:r>
    </w:p>
    <w:p>
      <w:pPr>
        <w:spacing w:line="480" w:lineRule="auto"/>
        <w:jc w:val="both"/>
      </w:pPr>
      <w:r>
        <w:rPr>
          <w:rFonts w:ascii="Times New Roman" w:hAnsi="Times New Roman"/>
        </w:rPr>
        <w:t>Caractéristique des LAL</w:t>
      </w:r>
    </w:p>
    <w:p>
      <w:pPr>
        <w:spacing w:line="480" w:lineRule="auto"/>
        <w:jc w:val="both"/>
        <w:numPr>
          <w:ilvl w:val="0"/>
          <w:numId w:val="27"/>
        </w:numPr>
      </w:pPr>
      <w:r>
        <w:rPr>
          <w:rFonts w:ascii="Times New Roman" w:hAnsi="Times New Roman"/>
        </w:rPr>
        <w:t xml:space="preserve">La </w:t>
      </w:r>
      <w:r>
        <w:rPr>
          <w:rFonts w:ascii="Times New Roman" w:hAnsi="Times New Roman"/>
        </w:rPr>
        <w:t>rémission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complète</w:t>
      </w:r>
      <w:r>
        <w:rPr>
          <w:rFonts w:ascii="Times New Roman" w:hAnsi="Times New Roman"/>
        </w:rPr>
        <w:t xml:space="preserve"> est obtenue</w:t>
      </w:r>
    </w:p>
    <w:p>
      <w:pPr>
        <w:spacing w:line="480" w:lineRule="auto"/>
        <w:jc w:val="both"/>
        <w:numPr>
          <w:ilvl w:val="1"/>
          <w:numId w:val="27"/>
        </w:numPr>
      </w:pPr>
      <w:r>
        <w:rPr>
          <w:rFonts w:ascii="Times New Roman" w:hAnsi="Times New Roman"/>
        </w:rPr>
        <w:t>&gt;90% chez l'enfant</w:t>
      </w:r>
    </w:p>
    <w:p>
      <w:pPr>
        <w:spacing w:line="480" w:lineRule="auto"/>
        <w:jc w:val="both"/>
        <w:numPr>
          <w:ilvl w:val="1"/>
          <w:numId w:val="27"/>
        </w:numPr>
      </w:pPr>
      <w:r>
        <w:rPr>
          <w:rFonts w:ascii="Times New Roman" w:hAnsi="Times New Roman"/>
        </w:rPr>
        <w:t>~70% chez l'adulte</w:t>
      </w:r>
    </w:p>
    <w:p>
      <w:pPr>
        <w:spacing w:line="480" w:lineRule="auto"/>
        <w:jc w:val="both"/>
        <w:numPr>
          <w:ilvl w:val="1"/>
          <w:numId w:val="27"/>
        </w:numPr>
      </w:pPr>
      <w:r>
        <w:rPr>
          <w:rFonts w:ascii="Times New Roman" w:hAnsi="Times New Roman"/>
        </w:rPr>
        <w:t>Esp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 xml:space="preserve">rance de </w:t>
      </w:r>
      <w:r>
        <w:rPr>
          <w:rFonts w:ascii="Times New Roman" w:hAnsi="Times New Roman"/>
        </w:rPr>
        <w:t>guérison :</w:t>
      </w:r>
      <w:r>
        <w:rPr>
          <w:rFonts w:ascii="Times New Roman" w:hAnsi="Times New Roman"/>
        </w:rPr>
        <w:t xml:space="preserve"> ~70% chez l'enfant</w:t>
      </w:r>
    </w:p>
    <w:p>
      <w:pPr>
        <w:spacing w:line="480" w:lineRule="auto"/>
        <w:jc w:val="both"/>
      </w:pPr>
    </w:p>
    <w:p>
      <w:pPr>
        <w:spacing w:line="480" w:lineRule="auto"/>
        <w:jc w:val="both"/>
      </w:pPr>
    </w:p>
    <w:p>
      <w:pPr>
        <w:pStyle w:val="Heading3"/>
      </w:pPr>
      <w:r>
        <w:rPr/>
        <w:t>Leucémies aiguës myéloblastiques</w:t>
      </w:r>
    </w:p>
    <w:p>
      <w:pPr>
        <w:spacing w:line="480" w:lineRule="auto"/>
        <w:jc w:val="both"/>
        <w:numPr>
          <w:ilvl w:val="0"/>
          <w:numId w:val="29"/>
        </w:numPr>
      </w:pPr>
      <w:r>
        <w:rPr>
          <w:rFonts w:ascii="Times New Roman" w:hAnsi="Times New Roman"/>
        </w:rPr>
        <w:t xml:space="preserve">On le retrouve à tout âge, et la fréquence augmente avec l'âge </w:t>
      </w:r>
    </w:p>
    <w:p>
      <w:pPr>
        <w:spacing w:line="480" w:lineRule="auto"/>
        <w:jc w:val="both"/>
        <w:numPr>
          <w:ilvl w:val="0"/>
          <w:numId w:val="28"/>
        </w:numPr>
      </w:pPr>
      <w:r>
        <w:rPr>
          <w:rFonts w:ascii="Times New Roman" w:hAnsi="Times New Roman"/>
        </w:rPr>
        <w:t>Cliniquement :</w:t>
      </w:r>
      <w:r>
        <w:rPr>
          <w:rFonts w:ascii="Times New Roman" w:hAnsi="Times New Roman"/>
        </w:rPr>
        <w:t xml:space="preserve"> il y a moins de </w:t>
      </w:r>
      <w:r>
        <w:rPr>
          <w:rFonts w:ascii="Times New Roman" w:hAnsi="Times New Roman"/>
        </w:rPr>
        <w:t>proliférations</w:t>
      </w:r>
      <w:r>
        <w:rPr>
          <w:rFonts w:ascii="Times New Roman" w:hAnsi="Times New Roman"/>
        </w:rPr>
        <w:t xml:space="preserve"> ganglionnaires et </w:t>
      </w:r>
      <w:r>
        <w:rPr>
          <w:rFonts w:ascii="Times New Roman" w:hAnsi="Times New Roman"/>
        </w:rPr>
        <w:t>spléniques</w:t>
      </w:r>
    </w:p>
    <w:p>
      <w:pPr>
        <w:spacing w:line="480" w:lineRule="auto"/>
        <w:jc w:val="both"/>
        <w:numPr>
          <w:ilvl w:val="0"/>
          <w:numId w:val="28"/>
        </w:numPr>
      </w:pPr>
      <w:r>
        <w:rPr>
          <w:rFonts w:ascii="Times New Roman" w:hAnsi="Times New Roman"/>
        </w:rPr>
        <w:t>L'atteinte du SNC est rare</w:t>
      </w:r>
    </w:p>
    <w:p>
      <w:pPr>
        <w:spacing w:line="480" w:lineRule="auto"/>
        <w:jc w:val="both"/>
      </w:pPr>
      <w:r>
        <w:rPr>
          <w:rFonts w:ascii="Times New Roman" w:hAnsi="Times New Roman"/>
        </w:rPr>
        <w:t>Classification :</w:t>
      </w:r>
    </w:p>
    <w:p>
      <w:pPr>
        <w:pStyle w:val="Heading4"/>
      </w:pPr>
      <w:r>
        <w:rPr/>
        <w:t>TRAITEMENT</w:t>
      </w:r>
    </w:p>
    <w:p>
      <w:pPr>
        <w:pStyle w:val="Heading5"/>
      </w:pPr>
      <w:r>
        <w:rPr/>
        <w:t>INDUCTION ET CONSOLIDATION</w:t>
      </w:r>
    </w:p>
    <w:p>
      <w:pPr>
        <w:spacing w:line="480" w:lineRule="auto"/>
        <w:jc w:val="both"/>
        <w:numPr>
          <w:ilvl w:val="1"/>
          <w:numId w:val="30"/>
        </w:numPr>
      </w:pPr>
      <w:r>
        <w:rPr>
          <w:rFonts w:ascii="Times New Roman" w:hAnsi="Times New Roman"/>
        </w:rPr>
        <w:t>Anthracyclines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après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élimination</w:t>
      </w:r>
      <w:r>
        <w:rPr>
          <w:rFonts w:ascii="Times New Roman" w:hAnsi="Times New Roman"/>
          <w:i/>
        </w:rPr>
        <w:t xml:space="preserve"> cardiopathie)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aracytine</w:t>
      </w:r>
    </w:p>
    <w:p>
      <w:pPr>
        <w:spacing w:line="480" w:lineRule="auto"/>
        <w:jc w:val="both"/>
        <w:numPr>
          <w:ilvl w:val="1"/>
          <w:numId w:val="30"/>
        </w:numPr>
      </w:pPr>
      <w:r>
        <w:rPr>
          <w:rFonts w:ascii="Times New Roman" w:hAnsi="Times New Roman"/>
        </w:rPr>
        <w:t xml:space="preserve">Aplasie profonde durant 3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</w:rPr>
        <w:t xml:space="preserve"> 4 semaines</w:t>
      </w:r>
    </w:p>
    <w:p>
      <w:pPr>
        <w:spacing w:line="480" w:lineRule="auto"/>
        <w:jc w:val="both"/>
        <w:numPr>
          <w:ilvl w:val="2"/>
          <w:numId w:val="30"/>
        </w:numPr>
      </w:pPr>
      <w:r>
        <w:rPr>
          <w:rFonts w:ascii="Times New Roman" w:hAnsi="Times New Roman"/>
        </w:rPr>
        <w:t xml:space="preserve">Traitement </w:t>
      </w:r>
      <w:r>
        <w:rPr>
          <w:rFonts w:ascii="Times New Roman" w:hAnsi="Times New Roman"/>
        </w:rPr>
        <w:t>symptomatique :</w:t>
      </w:r>
      <w:r>
        <w:rPr>
          <w:rFonts w:ascii="Times New Roman" w:hAnsi="Times New Roman"/>
        </w:rPr>
        <w:t xml:space="preserve"> transfusion + </w:t>
      </w:r>
      <w:r>
        <w:rPr>
          <w:rFonts w:ascii="Times New Roman" w:hAnsi="Times New Roman"/>
        </w:rPr>
        <w:t>antibiothérapie</w:t>
      </w:r>
      <w:r>
        <w:rPr>
          <w:rFonts w:ascii="Times New Roman" w:hAnsi="Times New Roman"/>
        </w:rPr>
        <w:t xml:space="preserve"> et asepsie rigoureuse</w:t>
      </w:r>
    </w:p>
    <w:p>
      <w:pPr>
        <w:pStyle w:val="Heading5"/>
      </w:pPr>
      <w:r>
        <w:rPr/>
        <w:t>TRAITEMENT DE CONSOLIDATION</w:t>
      </w:r>
    </w:p>
    <w:p>
      <w:pPr>
        <w:spacing w:line="480" w:lineRule="auto"/>
        <w:jc w:val="both"/>
        <w:numPr>
          <w:ilvl w:val="1"/>
          <w:numId w:val="30"/>
        </w:numPr>
      </w:pPr>
      <w:r>
        <w:rPr>
          <w:rFonts w:ascii="Times New Roman" w:hAnsi="Times New Roman"/>
        </w:rPr>
        <w:t>GREFFE DE MOELLE OSSEUSE</w:t>
      </w:r>
    </w:p>
    <w:p>
      <w:pPr>
        <w:spacing w:line="480" w:lineRule="auto"/>
        <w:jc w:val="both"/>
        <w:numPr>
          <w:ilvl w:val="2"/>
          <w:numId w:val="30"/>
        </w:numPr>
      </w:pPr>
      <w:r>
        <w:rPr>
          <w:rFonts w:ascii="Times New Roman" w:hAnsi="Times New Roman"/>
          <w:i/>
        </w:rPr>
        <w:t xml:space="preserve">Greffe </w:t>
      </w:r>
      <w:r>
        <w:rPr>
          <w:rFonts w:ascii="Times New Roman" w:hAnsi="Times New Roman"/>
          <w:i/>
        </w:rPr>
        <w:t>allogénique</w:t>
      </w:r>
      <w:r>
        <w:rPr>
          <w:rFonts w:ascii="Times New Roman" w:hAnsi="Times New Roman"/>
          <w:i/>
        </w:rPr>
        <w:t xml:space="preserve"> si donneur HLA compatible intrafamiliale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</w:r>
    </w:p>
    <w:p>
      <w:pPr>
        <w:spacing w:line="480" w:lineRule="auto"/>
        <w:jc w:val="both"/>
      </w:pPr>
      <w:r>
        <w:rPr>
          <w:rFonts w:ascii="Times New Roman" w:hAnsi="Times New Roman"/>
          <w:b/>
        </w:rPr>
        <w:t xml:space="preserve">Probabilité de </w:t>
      </w:r>
      <w:r>
        <w:rPr>
          <w:rFonts w:ascii="Times New Roman" w:hAnsi="Times New Roman"/>
          <w:b/>
        </w:rPr>
        <w:t xml:space="preserve">guérison </w:t>
      </w:r>
      <w:r>
        <w:rPr>
          <w:rFonts w:ascii="Times New Roman" w:hAnsi="Times New Roman"/>
          <w:b/>
        </w:rPr>
        <w:t>: 20%</w:t>
      </w:r>
    </w:p>
    <w:p>
      <w:pPr>
        <w:spacing w:line="480" w:lineRule="auto"/>
        <w:jc w:val="both"/>
      </w:pPr>
    </w:p>
    <w:p>
      <w:pPr>
        <w:pStyle w:val="Heading5"/>
      </w:pPr>
      <w:r>
        <w:rPr/>
        <w:t>CAS PARTICULIER CHEZ LAM3 OU PROMYELOCYTAIRE</w:t>
      </w:r>
      <w:r>
        <w:rPr/>
        <w:t xml:space="preserve"> </w:t>
      </w:r>
      <w:r>
        <w:rPr/>
        <w:t xml:space="preserve">: TRES BON PRONOSTIC mais traitement </w:t>
      </w:r>
      <w:r>
        <w:rPr/>
        <w:t>spécifique</w:t>
      </w:r>
    </w:p>
    <w:p>
      <w:pPr>
        <w:spacing w:line="480" w:lineRule="auto"/>
        <w:jc w:val="both"/>
      </w:pPr>
      <w:r>
        <w:rPr>
          <w:rFonts w:ascii="Times New Roman" w:hAnsi="Times New Roman"/>
        </w:rPr>
        <w:t xml:space="preserve">On utilise </w:t>
      </w:r>
      <w:r>
        <w:rPr>
          <w:rFonts w:ascii="Times New Roman" w:hAnsi="Times New Roman"/>
        </w:rPr>
        <w:t xml:space="preserve">l’ATRA </w:t>
      </w:r>
      <w:r>
        <w:rPr>
          <w:rFonts w:ascii="Times New Roman" w:hAnsi="Times New Roman"/>
        </w:rPr>
        <w:t xml:space="preserve">(acide </w:t>
      </w:r>
      <w:r>
        <w:rPr>
          <w:rFonts w:ascii="Times New Roman" w:hAnsi="Times New Roman"/>
        </w:rPr>
        <w:t>transrétinoïque</w:t>
      </w:r>
      <w:r>
        <w:rPr>
          <w:rFonts w:ascii="Times New Roman" w:hAnsi="Times New Roman"/>
        </w:rPr>
        <w:t xml:space="preserve"> et </w:t>
      </w:r>
      <w:r>
        <w:rPr>
          <w:rFonts w:ascii="Times New Roman" w:hAnsi="Times New Roman"/>
        </w:rPr>
        <w:t>arsénique</w:t>
      </w:r>
      <w:r>
        <w:rPr>
          <w:rFonts w:ascii="Times New Roman" w:hAnsi="Times New Roman"/>
        </w:rPr>
        <w:t>) + ATO</w:t>
      </w:r>
    </w:p>
    <w:p>
      <w:pPr>
        <w:spacing w:line="480" w:lineRule="auto"/>
        <w:jc w:val="both"/>
      </w:pPr>
    </w:p>
    <w:p>
      <w:pPr>
        <w:pStyle w:val="Heading2"/>
      </w:pPr>
      <w:r>
        <w:rPr/>
        <w:t>EVOLUTION DES L</w:t>
      </w:r>
      <w:r>
        <w:rPr/>
        <w:t xml:space="preserve">EUCEMIES AIGUES </w:t>
      </w:r>
      <w:r>
        <w:rPr/>
        <w:t>:</w:t>
      </w:r>
    </w:p>
    <w:p>
      <w:pPr>
        <w:spacing w:line="480" w:lineRule="auto"/>
        <w:jc w:val="both"/>
        <w:numPr>
          <w:ilvl w:val="0"/>
          <w:numId w:val="31"/>
        </w:numPr>
      </w:pPr>
      <w:r>
        <w:rPr>
          <w:rFonts w:ascii="Times New Roman" w:hAnsi="Times New Roman"/>
        </w:rPr>
        <w:t>Les signes peuvent r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>gresser sous traitement mais ils r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>apparaissent à plus ou moins longue échéance et deviennent de moins en moins sensible au traitement</w:t>
      </w:r>
    </w:p>
    <w:p>
      <w:pPr>
        <w:spacing w:line="480" w:lineRule="auto"/>
        <w:jc w:val="both"/>
        <w:numPr>
          <w:ilvl w:val="0"/>
          <w:numId w:val="31"/>
        </w:numPr>
      </w:pPr>
      <w:r>
        <w:rPr>
          <w:rFonts w:ascii="Times New Roman" w:hAnsi="Times New Roman"/>
        </w:rPr>
        <w:t>Complications possibles par Localisation</w:t>
      </w:r>
    </w:p>
    <w:p>
      <w:pPr>
        <w:spacing w:line="480" w:lineRule="auto"/>
        <w:jc w:val="both"/>
        <w:numPr>
          <w:ilvl w:val="1"/>
          <w:numId w:val="31"/>
        </w:numPr>
      </w:pPr>
      <w:r>
        <w:rPr>
          <w:rFonts w:ascii="Times New Roman" w:hAnsi="Times New Roman"/>
        </w:rPr>
        <w:t xml:space="preserve">Cutanée </w:t>
      </w:r>
    </w:p>
    <w:p>
      <w:pPr>
        <w:spacing w:line="480" w:lineRule="auto"/>
        <w:jc w:val="both"/>
        <w:numPr>
          <w:ilvl w:val="1"/>
          <w:numId w:val="31"/>
        </w:numPr>
      </w:pPr>
      <w:r>
        <w:rPr>
          <w:rFonts w:ascii="Times New Roman" w:hAnsi="Times New Roman"/>
        </w:rPr>
        <w:t>Articulaire</w:t>
      </w:r>
    </w:p>
    <w:p>
      <w:pPr>
        <w:spacing w:line="480" w:lineRule="auto"/>
        <w:jc w:val="both"/>
        <w:numPr>
          <w:ilvl w:val="1"/>
          <w:numId w:val="31"/>
        </w:numPr>
      </w:pPr>
      <w:r>
        <w:rPr>
          <w:rFonts w:ascii="Times New Roman" w:hAnsi="Times New Roman"/>
        </w:rPr>
        <w:t>Méningée</w:t>
      </w:r>
    </w:p>
    <w:p>
      <w:pPr>
        <w:spacing w:line="480" w:lineRule="auto"/>
        <w:jc w:val="both"/>
        <w:numPr>
          <w:ilvl w:val="1"/>
          <w:numId w:val="31"/>
        </w:numPr>
      </w:pPr>
      <w:r>
        <w:rPr>
          <w:rFonts w:ascii="Times New Roman" w:hAnsi="Times New Roman"/>
        </w:rPr>
        <w:t>Pleuropulmonaire</w:t>
      </w:r>
    </w:p>
    <w:p>
      <w:pPr>
        <w:spacing w:line="480" w:lineRule="auto"/>
        <w:numPr>
          <w:ilvl w:val="0"/>
          <w:numId w:val="31"/>
        </w:numPr>
      </w:pPr>
      <w:r>
        <w:rPr>
          <w:rFonts w:ascii="Times New Roman" w:hAnsi="Times New Roman"/>
        </w:rPr>
        <w:t>Evolution terminale(décès) par les signes d'insuffisance m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>dullaire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infection, h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>morragie, an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 xml:space="preserve">mie ou aplasie complète 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