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L'HEMOPHILIE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DEFINITION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Maladie hémorragique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>Déficit en facteur de coagulation</w:t>
      </w:r>
    </w:p>
    <w:p>
      <w:pPr>
        <w:numPr>
          <w:ilvl w:val="2"/>
          <w:numId w:val="63"/>
        </w:numPr>
      </w:pPr>
      <w:r>
        <w:rPr>
          <w:rFonts w:ascii="Times New Roman" w:hAnsi="Times New Roman"/>
        </w:rPr>
        <w:t xml:space="preserve">Facteur VIII (hémophilie A) </w:t>
      </w:r>
    </w:p>
    <w:p>
      <w:pPr>
        <w:numPr>
          <w:ilvl w:val="2"/>
          <w:numId w:val="63"/>
        </w:numPr>
      </w:pPr>
      <w:r>
        <w:rPr>
          <w:rFonts w:ascii="Times New Roman" w:hAnsi="Times New Roman"/>
        </w:rPr>
        <w:t xml:space="preserve">Facteur IX (Hémophilie B) 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>Congénital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 xml:space="preserve">Transmission génétique récessive liée au sexe (/mère au fils) </w:t>
      </w:r>
    </w:p>
    <w:p>
      <w:pPr/>
    </w:p>
    <w:p>
      <w:pPr>
        <w:pStyle w:val="Heading3"/>
      </w:pPr>
      <w:r>
        <w:rPr/>
        <w:t>GENETIQUE</w:t>
      </w:r>
    </w:p>
    <w:p>
      <w:pPr>
        <w:numPr>
          <w:ilvl w:val="0"/>
          <w:numId w:val="64"/>
        </w:numPr>
      </w:pPr>
      <w:r>
        <w:rPr>
          <w:rFonts w:ascii="Times New Roman" w:hAnsi="Times New Roman"/>
        </w:rPr>
        <w:t xml:space="preserve">Affection génétique récessive liée au sexe (chromosome X) </w:t>
      </w:r>
    </w:p>
    <w:p>
      <w:pPr>
        <w:pStyle w:val="Heading4"/>
      </w:pPr>
      <w:r>
        <w:rPr/>
        <w:t xml:space="preserve">Un sujet donné peut </w:t>
      </w:r>
      <w:r>
        <w:rPr/>
        <w:t>être :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Totalement indemne (</w:t>
      </w:r>
      <w:r>
        <w:rPr>
          <w:rFonts w:ascii="Times New Roman" w:hAnsi="Times New Roman"/>
        </w:rPr>
        <w:t>XsXs</w:t>
      </w:r>
      <w:r>
        <w:rPr>
          <w:rFonts w:ascii="Times New Roman" w:hAnsi="Times New Roman"/>
        </w:rPr>
        <w:t xml:space="preserve"> ou </w:t>
      </w:r>
      <w:r>
        <w:rPr>
          <w:rFonts w:ascii="Times New Roman" w:hAnsi="Times New Roman"/>
        </w:rPr>
        <w:t>XsY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Homme hétérozygote (</w:t>
      </w:r>
      <w:r>
        <w:rPr>
          <w:rFonts w:ascii="Times New Roman" w:hAnsi="Times New Roman"/>
        </w:rPr>
        <w:t>XmY</w:t>
      </w:r>
      <w:r>
        <w:rPr>
          <w:rFonts w:ascii="Times New Roman" w:hAnsi="Times New Roman"/>
        </w:rPr>
        <w:t xml:space="preserve">) (homme hémophile et vecteur) 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 xml:space="preserve">Femme hétérozygote </w:t>
      </w:r>
      <w:r>
        <w:rPr>
          <w:rFonts w:ascii="Times New Roman" w:hAnsi="Times New Roman"/>
        </w:rPr>
        <w:t>XmXs</w:t>
      </w:r>
      <w:r>
        <w:rPr>
          <w:rFonts w:ascii="Times New Roman" w:hAnsi="Times New Roman"/>
        </w:rPr>
        <w:t xml:space="preserve"> (femme vectrice non malade) 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 xml:space="preserve">Femme homozygote </w:t>
      </w:r>
      <w:r>
        <w:rPr>
          <w:rFonts w:ascii="Times New Roman" w:hAnsi="Times New Roman"/>
        </w:rPr>
        <w:t>XmXm</w:t>
      </w:r>
      <w:r>
        <w:rPr>
          <w:rFonts w:ascii="Times New Roman" w:hAnsi="Times New Roman"/>
        </w:rPr>
        <w:t xml:space="preserve"> (femme </w:t>
      </w:r>
      <w:r>
        <w:rPr>
          <w:rFonts w:ascii="Times New Roman" w:hAnsi="Times New Roman"/>
        </w:rPr>
        <w:t>hémophile :</w:t>
      </w:r>
      <w:r>
        <w:rPr>
          <w:rFonts w:ascii="Times New Roman" w:hAnsi="Times New Roman"/>
        </w:rPr>
        <w:t xml:space="preserve"> exceptionnelle, gène létal) </w:t>
      </w:r>
    </w:p>
    <w:p>
      <w:pPr>
        <w:pStyle w:val="Heading4"/>
      </w:pPr>
      <w:r>
        <w:rPr/>
        <w:t xml:space="preserve">1er </w:t>
      </w:r>
      <w:r>
        <w:rPr/>
        <w:t>cas :</w:t>
      </w:r>
      <w:r>
        <w:rPr/>
        <w:t xml:space="preserve"> père hémophile et mère normale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0"/>
          </w:tcPr>
          <w:p/>
          <w:p>
            <w:pPr>
              <w:ind w:left="720"/>
            </w:pP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Xs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Xs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XmXs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XmXs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Y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XsY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XsY</w:t>
            </w:r>
          </w:p>
        </w:tc>
      </w:tr>
    </w:tbl>
    <w:p>
      <w:pPr>
        <w:numPr>
          <w:ilvl w:val="1"/>
          <w:numId w:val="64"/>
        </w:numPr>
      </w:pPr>
      <w:r>
        <w:rPr>
          <w:rFonts w:ascii="Times New Roman" w:hAnsi="Times New Roman"/>
        </w:rPr>
        <w:t>Toutes les filles</w:t>
      </w:r>
      <w:r>
        <w:rPr>
          <w:rFonts w:ascii="Times New Roman" w:hAnsi="Times New Roman"/>
        </w:rPr>
        <w:t xml:space="preserve"> sont vectrices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Tous les garçons sont normaux</w:t>
      </w:r>
    </w:p>
    <w:p>
      <w:pPr>
        <w:pStyle w:val="Heading4"/>
      </w:pPr>
      <w:r>
        <w:rPr/>
        <w:t xml:space="preserve">2ème </w:t>
      </w:r>
      <w:r>
        <w:rPr/>
        <w:t>cas :</w:t>
      </w:r>
      <w:r>
        <w:rPr/>
        <w:t xml:space="preserve"> père sain et mère vectrice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0"/>
          </w:tcPr>
          <w:p/>
          <w:p>
            <w:pPr>
              <w:ind w:left="720"/>
            </w:pP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</w:t>
            </w:r>
          </w:p>
        </w:tc>
        <w:tc>
          <w:tcPr>
            <w:tcW w:type="dxa" w:w="2600"/>
          </w:tcPr>
          <w:p/>
          <w:p>
            <w:pPr/>
            <w:r>
              <w:rPr>
                <w:rFonts w:ascii="Times New Roman" w:hAnsi="Times New Roman"/>
              </w:rPr>
              <w:t>Xs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Xs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XmXs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XsXs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Y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XmY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XsY</w:t>
            </w:r>
          </w:p>
        </w:tc>
      </w:tr>
    </w:tbl>
    <w:p>
      <w:pPr>
        <w:numPr>
          <w:ilvl w:val="1"/>
          <w:numId w:val="64"/>
        </w:numPr>
      </w:pP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 xml:space="preserve">1 garçon sur </w:t>
      </w:r>
      <w:r>
        <w:rPr>
          <w:rFonts w:ascii="Times New Roman" w:hAnsi="Times New Roman"/>
        </w:rPr>
        <w:t>2 :</w:t>
      </w:r>
      <w:r>
        <w:rPr>
          <w:rFonts w:ascii="Times New Roman" w:hAnsi="Times New Roman"/>
        </w:rPr>
        <w:t xml:space="preserve"> malade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1 garçon sur 2 : sain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1 fille sur 2 : vectrice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1 fille sur 2 : saine</w:t>
      </w:r>
    </w:p>
    <w:p>
      <w:pPr>
        <w:pStyle w:val="Heading4"/>
      </w:pPr>
      <w:r>
        <w:rPr/>
        <w:t xml:space="preserve">3ème </w:t>
      </w:r>
      <w:r>
        <w:rPr/>
        <w:t>cas :</w:t>
      </w:r>
      <w:r>
        <w:rPr/>
        <w:t xml:space="preserve"> père hémophile et mère vectrice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0"/>
          </w:tcPr>
          <w:p/>
          <w:p>
            <w:pPr>
              <w:ind w:left="720"/>
            </w:pP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Xs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XmXm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XmXs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Y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XmY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>
                <w:rFonts w:ascii="Times New Roman" w:hAnsi="Times New Roman"/>
              </w:rPr>
              <w:t>XsY</w:t>
            </w:r>
          </w:p>
        </w:tc>
      </w:tr>
    </w:tbl>
    <w:p>
      <w:pPr>
        <w:numPr>
          <w:ilvl w:val="1"/>
          <w:numId w:val="64"/>
        </w:numPr>
      </w:pPr>
      <w:r>
        <w:rPr>
          <w:rFonts w:ascii="Times New Roman" w:hAnsi="Times New Roman"/>
        </w:rPr>
        <w:t>1 garçon sur 2 : Sain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1 garçon sur 2 : hémophile et vecteur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1 fille sur 2 : vectrice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1 fille sur 2 : hémophile homozygote</w:t>
      </w:r>
    </w:p>
    <w:p>
      <w:pPr>
        <w:pStyle w:val="Heading4"/>
      </w:pPr>
      <w:r>
        <w:rPr/>
        <w:t>ETUDE GENETIQUE</w:t>
      </w:r>
    </w:p>
    <w:p>
      <w:pPr>
        <w:numPr>
          <w:ilvl w:val="0"/>
          <w:numId w:val="65"/>
        </w:numPr>
      </w:pPr>
      <w:r>
        <w:rPr>
          <w:rFonts w:ascii="Times New Roman" w:hAnsi="Times New Roman"/>
        </w:rPr>
        <w:t>L'hémophilie atteint les garçons mais se transmet par les femmes</w:t>
      </w:r>
    </w:p>
    <w:p>
      <w:pPr>
        <w:numPr>
          <w:ilvl w:val="0"/>
          <w:numId w:val="65"/>
        </w:numPr>
      </w:pPr>
      <w:r>
        <w:rPr>
          <w:rFonts w:ascii="Times New Roman" w:hAnsi="Times New Roman"/>
        </w:rPr>
        <w:t>La maladie saute apparemment une génération</w:t>
      </w:r>
    </w:p>
    <w:p>
      <w:pPr>
        <w:numPr>
          <w:ilvl w:val="0"/>
          <w:numId w:val="65"/>
        </w:numPr>
      </w:pPr>
      <w:r>
        <w:rPr>
          <w:rFonts w:ascii="Times New Roman" w:hAnsi="Times New Roman"/>
        </w:rPr>
        <w:t>Les antécédents hémorragiques sont à rechercher chez les oncles maternels et les frères du sujet atteint</w:t>
      </w:r>
    </w:p>
    <w:p>
      <w:pPr>
        <w:numPr>
          <w:ilvl w:val="0"/>
          <w:numId w:val="65"/>
        </w:numPr>
      </w:pPr>
      <w:r>
        <w:rPr>
          <w:rFonts w:ascii="Times New Roman" w:hAnsi="Times New Roman"/>
        </w:rPr>
        <w:t>L'hémophilie féminine (létale) est favorisée par la consanguinité</w:t>
      </w:r>
    </w:p>
    <w:p>
      <w:pPr/>
    </w:p>
    <w:p>
      <w:pPr>
        <w:pStyle w:val="Heading2"/>
      </w:pPr>
      <w:r>
        <w:rPr/>
        <w:t>CLINIQUE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Identique pour HA et HB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Principales manifestations= Hémorragies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Sévérité variable selon l'intensité du déficit en facteur de coagulation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Chez le garçon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 xml:space="preserve">Héréditaire (antécédents </w:t>
      </w:r>
      <w:r>
        <w:rPr>
          <w:rFonts w:ascii="Times New Roman" w:hAnsi="Times New Roman"/>
        </w:rPr>
        <w:t>familiaux :</w:t>
      </w:r>
      <w:r>
        <w:rPr>
          <w:rFonts w:ascii="Times New Roman" w:hAnsi="Times New Roman"/>
        </w:rPr>
        <w:t xml:space="preserve"> oncles maternels, frères) 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Dans une même famille, le type d'hémophilie est le même</w:t>
      </w:r>
    </w:p>
    <w:p>
      <w:pPr/>
    </w:p>
    <w:p>
      <w:pPr>
        <w:pStyle w:val="Heading3"/>
      </w:pPr>
      <w:r>
        <w:rPr/>
        <w:t xml:space="preserve">HEMORRAGIE </w:t>
      </w:r>
    </w:p>
    <w:p>
      <w:pPr>
        <w:pStyle w:val="Heading4"/>
      </w:pPr>
      <w:r>
        <w:rPr/>
        <w:t>Début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Rarement à la naissance (section ou chute de cordon) 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Parfois premiers mois de la vie (circoncision) 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Souvent à l'acquisition de la </w:t>
      </w:r>
      <w:r>
        <w:rPr>
          <w:rFonts w:ascii="Times New Roman" w:hAnsi="Times New Roman"/>
        </w:rPr>
        <w:t>marche (</w:t>
      </w:r>
      <w:r>
        <w:rPr>
          <w:rFonts w:ascii="Times New Roman" w:hAnsi="Times New Roman"/>
        </w:rPr>
        <w:t xml:space="preserve">12- 14 mois) 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Vers 4-6 ans (chute de dent, scolarisation) </w:t>
      </w:r>
    </w:p>
    <w:p>
      <w:pPr>
        <w:pStyle w:val="Heading4"/>
      </w:pPr>
      <w:r>
        <w:rPr/>
        <w:t xml:space="preserve">Manifestations 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Très souvent provoquées par un traumatisme minime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Abondance démesurée par rapport à la cause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Tendance à récidiver à la chute du caillot 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Pas d'arrêt spontané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Gravité et caractère dramatique de toute blessure profonde et de tout acte chirurgical chez l'hémophile</w:t>
      </w:r>
    </w:p>
    <w:p>
      <w:pPr>
        <w:pStyle w:val="Heading4"/>
      </w:pPr>
      <w:r>
        <w:rPr/>
        <w:t>Localisation et topographie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  <w:b/>
        </w:rPr>
        <w:t>Extériorisées</w:t>
      </w:r>
    </w:p>
    <w:p>
      <w:pPr>
        <w:numPr>
          <w:ilvl w:val="2"/>
          <w:numId w:val="67"/>
        </w:numPr>
      </w:pPr>
      <w:r>
        <w:rPr>
          <w:rFonts w:ascii="Times New Roman" w:hAnsi="Times New Roman"/>
        </w:rPr>
        <w:t xml:space="preserve">Cutanée(blessure) </w:t>
      </w:r>
    </w:p>
    <w:p>
      <w:pPr>
        <w:numPr>
          <w:ilvl w:val="2"/>
          <w:numId w:val="67"/>
        </w:numPr>
      </w:pPr>
      <w:r>
        <w:rPr>
          <w:rFonts w:ascii="Times New Roman" w:hAnsi="Times New Roman"/>
        </w:rPr>
        <w:t xml:space="preserve">Muqueuse (gingivite, nasale, dentaire) </w:t>
      </w:r>
    </w:p>
    <w:p>
      <w:pPr>
        <w:numPr>
          <w:ilvl w:val="2"/>
          <w:numId w:val="67"/>
        </w:numPr>
      </w:pPr>
      <w:r>
        <w:rPr>
          <w:rFonts w:ascii="Times New Roman" w:hAnsi="Times New Roman"/>
        </w:rPr>
        <w:t xml:space="preserve">Viscérale, rare mais habituellement rebelle au traitement (digestive, urinaire, génitale, bronchique) </w:t>
      </w:r>
    </w:p>
    <w:p>
      <w:pPr>
        <w:numPr>
          <w:ilvl w:val="1"/>
          <w:numId w:val="67"/>
        </w:numPr>
      </w:pPr>
      <w:r>
        <w:rPr>
          <w:rFonts w:ascii="Times New Roman" w:hAnsi="Times New Roman"/>
          <w:b/>
        </w:rPr>
        <w:t>Interstitielles</w:t>
      </w:r>
    </w:p>
    <w:p>
      <w:pPr>
        <w:numPr>
          <w:ilvl w:val="2"/>
          <w:numId w:val="67"/>
        </w:numPr>
      </w:pPr>
      <w:r>
        <w:rPr>
          <w:rFonts w:ascii="Times New Roman" w:hAnsi="Times New Roman"/>
        </w:rPr>
        <w:t>Hématomes</w:t>
      </w:r>
    </w:p>
    <w:p>
      <w:pPr>
        <w:numPr>
          <w:ilvl w:val="3"/>
          <w:numId w:val="67"/>
        </w:numPr>
      </w:pPr>
      <w:r>
        <w:rPr>
          <w:rFonts w:ascii="Times New Roman" w:hAnsi="Times New Roman"/>
        </w:rPr>
        <w:t xml:space="preserve">Sous cutané, </w:t>
      </w:r>
      <w:r>
        <w:rPr>
          <w:rFonts w:ascii="Times New Roman" w:hAnsi="Times New Roman"/>
        </w:rPr>
        <w:t>intramusculaire (</w:t>
      </w:r>
      <w:r>
        <w:rPr>
          <w:rFonts w:ascii="Times New Roman" w:hAnsi="Times New Roman"/>
        </w:rPr>
        <w:t xml:space="preserve">cuisse, muscles </w:t>
      </w:r>
      <w:r>
        <w:rPr>
          <w:rFonts w:ascii="Times New Roman" w:hAnsi="Times New Roman"/>
        </w:rPr>
        <w:t>psoas,</w:t>
      </w:r>
      <w:r>
        <w:rPr>
          <w:rFonts w:ascii="Times New Roman" w:hAnsi="Times New Roman"/>
        </w:rPr>
        <w:t xml:space="preserve">) </w:t>
      </w:r>
    </w:p>
    <w:p>
      <w:pPr>
        <w:numPr>
          <w:ilvl w:val="3"/>
          <w:numId w:val="67"/>
        </w:numPr>
      </w:pPr>
      <w:r>
        <w:rPr>
          <w:rFonts w:ascii="Times New Roman" w:hAnsi="Times New Roman"/>
        </w:rPr>
        <w:t>Dangereux au niveau de la bouche(</w:t>
      </w:r>
      <w:r>
        <w:rPr>
          <w:rFonts w:ascii="Times New Roman" w:hAnsi="Times New Roman"/>
          <w:i/>
        </w:rPr>
        <w:t>asphyxie)</w:t>
      </w:r>
      <w:r>
        <w:rPr>
          <w:rFonts w:ascii="Times New Roman" w:hAnsi="Times New Roman"/>
        </w:rPr>
        <w:t xml:space="preserve">, du pharynx, </w:t>
      </w:r>
      <w:r>
        <w:rPr>
          <w:rFonts w:ascii="Times New Roman" w:hAnsi="Times New Roman"/>
        </w:rPr>
        <w:t xml:space="preserve">rétro orbitaire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compression oculaire puis cécité)</w:t>
      </w:r>
      <w:r>
        <w:rPr>
          <w:rFonts w:ascii="Times New Roman" w:hAnsi="Times New Roman"/>
        </w:rPr>
        <w:t xml:space="preserve">, intra-abdominaux (hémopéritoine ou rétropéritonéale) </w:t>
      </w:r>
    </w:p>
    <w:p>
      <w:pPr>
        <w:numPr>
          <w:ilvl w:val="2"/>
          <w:numId w:val="67"/>
        </w:numPr>
      </w:pPr>
      <w:r>
        <w:rPr>
          <w:rFonts w:ascii="Times New Roman" w:hAnsi="Times New Roman"/>
        </w:rPr>
        <w:t>Hémarthroses :</w:t>
      </w:r>
      <w:r>
        <w:rPr>
          <w:rFonts w:ascii="Times New Roman" w:hAnsi="Times New Roman"/>
        </w:rPr>
        <w:t xml:space="preserve"> caractéristiques de la maladie</w:t>
      </w:r>
    </w:p>
    <w:p>
      <w:pPr>
        <w:numPr>
          <w:ilvl w:val="3"/>
          <w:numId w:val="67"/>
        </w:numPr>
      </w:pPr>
      <w:r>
        <w:rPr>
          <w:rFonts w:ascii="Times New Roman" w:hAnsi="Times New Roman"/>
        </w:rPr>
        <w:t xml:space="preserve">Traumatisme </w:t>
      </w:r>
      <w:r>
        <w:rPr>
          <w:rFonts w:ascii="Times New Roman" w:hAnsi="Times New Roman"/>
        </w:rPr>
        <w:t>minime (</w:t>
      </w:r>
      <w:r>
        <w:rPr>
          <w:rFonts w:ascii="Times New Roman" w:hAnsi="Times New Roman"/>
          <w:i/>
        </w:rPr>
        <w:t xml:space="preserve">effort physique comme marche), </w:t>
      </w:r>
      <w:r>
        <w:rPr>
          <w:rFonts w:ascii="Times New Roman" w:hAnsi="Times New Roman"/>
        </w:rPr>
        <w:t>parfois spontané après fatigue</w:t>
      </w:r>
    </w:p>
    <w:p>
      <w:pPr>
        <w:numPr>
          <w:ilvl w:val="3"/>
          <w:numId w:val="67"/>
        </w:numPr>
      </w:pPr>
      <w:r>
        <w:rPr>
          <w:rFonts w:ascii="Times New Roman" w:hAnsi="Times New Roman"/>
        </w:rPr>
        <w:t>Augmentation de volume, douleur</w:t>
      </w:r>
    </w:p>
    <w:p>
      <w:pPr>
        <w:numPr>
          <w:ilvl w:val="3"/>
          <w:numId w:val="67"/>
        </w:numPr>
      </w:pPr>
      <w:r>
        <w:rPr>
          <w:rFonts w:ascii="Times New Roman" w:hAnsi="Times New Roman"/>
        </w:rPr>
        <w:t>Au niveau des grosses articulations,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ankylose puis arthropathie chronique </w:t>
      </w:r>
      <w:r>
        <w:rPr>
          <w:rFonts w:ascii="Times New Roman" w:hAnsi="Times New Roman"/>
          <w:i/>
        </w:rPr>
        <w:t>Arthropathie hémophilique</w:t>
      </w:r>
    </w:p>
    <w:p>
      <w:pPr>
        <w:numPr>
          <w:ilvl w:val="3"/>
          <w:numId w:val="67"/>
        </w:numPr>
      </w:pPr>
      <w:r>
        <w:rPr>
          <w:rFonts w:ascii="Times New Roman" w:hAnsi="Times New Roman"/>
        </w:rPr>
        <w:t>Jamais de ponction sans traitement substitutif</w:t>
      </w:r>
    </w:p>
    <w:p>
      <w:pPr>
        <w:numPr>
          <w:ilvl w:val="2"/>
          <w:numId w:val="67"/>
        </w:numPr>
      </w:pPr>
      <w:r>
        <w:rPr>
          <w:rFonts w:ascii="Times New Roman" w:hAnsi="Times New Roman"/>
        </w:rPr>
        <w:t xml:space="preserve">Autres rares mais </w:t>
      </w:r>
      <w:r>
        <w:rPr>
          <w:rFonts w:ascii="Times New Roman" w:hAnsi="Times New Roman"/>
        </w:rPr>
        <w:t>graves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cérébro</w:t>
      </w:r>
      <w:r>
        <w:rPr>
          <w:rFonts w:ascii="Times New Roman" w:hAnsi="Times New Roman"/>
        </w:rPr>
        <w:t>-méningée, pleurale, rétinienne</w:t>
      </w:r>
    </w:p>
    <w:p>
      <w:pPr>
        <w:pStyle w:val="Heading4"/>
      </w:pPr>
      <w:r>
        <w:rPr/>
        <w:t>Evolution :</w:t>
      </w:r>
      <w:r>
        <w:rPr/>
        <w:t xml:space="preserve"> variable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Intensité et fréquence selon le taux de </w:t>
      </w:r>
      <w:r>
        <w:rPr>
          <w:rFonts w:ascii="Times New Roman" w:hAnsi="Times New Roman"/>
        </w:rPr>
        <w:t>facteur :</w:t>
      </w:r>
      <w:r>
        <w:rPr>
          <w:rFonts w:ascii="Times New Roman" w:hAnsi="Times New Roman"/>
        </w:rPr>
        <w:t xml:space="preserve"> graves, moyennes, atténuées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Mêmes formes dans une même famille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Tendance cyclique</w:t>
      </w:r>
    </w:p>
    <w:p>
      <w:pPr>
        <w:numPr>
          <w:ilvl w:val="2"/>
          <w:numId w:val="67"/>
        </w:numPr>
      </w:pPr>
      <w:r>
        <w:rPr>
          <w:rFonts w:ascii="Times New Roman" w:hAnsi="Times New Roman"/>
        </w:rPr>
        <w:t xml:space="preserve">Période </w:t>
      </w:r>
      <w:r>
        <w:rPr>
          <w:rFonts w:ascii="Times New Roman" w:hAnsi="Times New Roman"/>
        </w:rPr>
        <w:t>d’accalmie (hémorragie</w:t>
      </w:r>
      <w:r>
        <w:rPr>
          <w:rFonts w:ascii="Times New Roman" w:hAnsi="Times New Roman"/>
        </w:rPr>
        <w:t xml:space="preserve"> rare) </w:t>
      </w:r>
    </w:p>
    <w:p>
      <w:pPr>
        <w:numPr>
          <w:ilvl w:val="2"/>
          <w:numId w:val="67"/>
        </w:numPr>
      </w:pPr>
      <w:r>
        <w:rPr>
          <w:rFonts w:ascii="Times New Roman" w:hAnsi="Times New Roman"/>
        </w:rPr>
        <w:t xml:space="preserve">Période de poussées (hémorragie exagérée) 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Limiter les risques de </w:t>
      </w:r>
      <w:r>
        <w:rPr>
          <w:rFonts w:ascii="Times New Roman" w:hAnsi="Times New Roman"/>
        </w:rPr>
        <w:t>traumatisme : L’hémophilie</w:t>
      </w:r>
      <w:r>
        <w:rPr>
          <w:rFonts w:ascii="Times New Roman" w:hAnsi="Times New Roman"/>
        </w:rPr>
        <w:t xml:space="preserve"> est compatible avec une vie normale</w:t>
      </w:r>
    </w:p>
    <w:p>
      <w:pPr/>
    </w:p>
    <w:p>
      <w:pPr>
        <w:pStyle w:val="Heading2"/>
      </w:pPr>
      <w:r>
        <w:rPr/>
        <w:t>BIOLOGIE</w:t>
      </w:r>
    </w:p>
    <w:p>
      <w:pPr>
        <w:pStyle w:val="Heading3"/>
      </w:pPr>
      <w:r>
        <w:rPr/>
        <w:t>EXAMENS BIOLOGIQUES</w:t>
      </w:r>
    </w:p>
    <w:p>
      <w:pPr>
        <w:numPr>
          <w:ilvl w:val="1"/>
          <w:numId w:val="68"/>
        </w:numPr>
      </w:pPr>
      <w:r>
        <w:rPr>
          <w:rFonts w:ascii="Times New Roman" w:hAnsi="Times New Roman"/>
        </w:rPr>
        <w:t>Pour faire le diagnostic ou dépistage</w:t>
      </w:r>
    </w:p>
    <w:p>
      <w:pPr>
        <w:numPr>
          <w:ilvl w:val="1"/>
          <w:numId w:val="68"/>
        </w:numPr>
      </w:pPr>
      <w:r>
        <w:rPr>
          <w:rFonts w:ascii="Times New Roman" w:hAnsi="Times New Roman"/>
        </w:rPr>
        <w:t xml:space="preserve">Pour connaître le type de </w:t>
      </w:r>
      <w:r>
        <w:rPr>
          <w:rFonts w:ascii="Times New Roman" w:hAnsi="Times New Roman"/>
        </w:rPr>
        <w:t>déficit (</w:t>
      </w:r>
      <w:r>
        <w:rPr>
          <w:rFonts w:ascii="Times New Roman" w:hAnsi="Times New Roman"/>
        </w:rPr>
        <w:t xml:space="preserve">A ou B) </w:t>
      </w:r>
    </w:p>
    <w:p>
      <w:pPr>
        <w:numPr>
          <w:ilvl w:val="1"/>
          <w:numId w:val="68"/>
        </w:numPr>
      </w:pPr>
      <w:r>
        <w:rPr>
          <w:rFonts w:ascii="Times New Roman" w:hAnsi="Times New Roman"/>
        </w:rPr>
        <w:t xml:space="preserve">Pour connaître l'intensité du déficit (degré de gravité) </w:t>
      </w:r>
    </w:p>
    <w:p>
      <w:pPr>
        <w:numPr>
          <w:ilvl w:val="1"/>
          <w:numId w:val="68"/>
        </w:numPr>
      </w:pPr>
      <w:r>
        <w:rPr>
          <w:rFonts w:ascii="Times New Roman" w:hAnsi="Times New Roman"/>
        </w:rPr>
        <w:t>Pour connaître l'augmentation du taux de facteur après traitement</w:t>
      </w:r>
    </w:p>
    <w:p>
      <w:pPr>
        <w:numPr>
          <w:ilvl w:val="1"/>
          <w:numId w:val="68"/>
        </w:numPr>
      </w:pPr>
      <w:r>
        <w:rPr>
          <w:rFonts w:ascii="Times New Roman" w:hAnsi="Times New Roman"/>
        </w:rPr>
        <w:t>Pour détecter le développement d'anticorps anti-facteur (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traitement à vie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facteurs) </w:t>
      </w:r>
    </w:p>
    <w:p>
      <w:pPr>
        <w:pStyle w:val="Heading3"/>
      </w:pPr>
      <w:r>
        <w:rPr/>
        <w:t>Conséquences thérapeutiques</w:t>
      </w:r>
    </w:p>
    <w:p>
      <w:pPr>
        <w:numPr>
          <w:ilvl w:val="1"/>
          <w:numId w:val="68"/>
        </w:numPr>
      </w:pPr>
      <w:r>
        <w:rPr>
          <w:rFonts w:ascii="Times New Roman" w:hAnsi="Times New Roman"/>
          <w:b/>
        </w:rPr>
        <w:t xml:space="preserve">Traitement : </w:t>
      </w:r>
      <w:r>
        <w:rPr>
          <w:rFonts w:ascii="Times New Roman" w:hAnsi="Times New Roman"/>
        </w:rPr>
        <w:t>donner le facteur qui manque</w:t>
      </w:r>
    </w:p>
    <w:p>
      <w:pPr>
        <w:numPr>
          <w:ilvl w:val="1"/>
          <w:numId w:val="68"/>
        </w:numPr>
      </w:pPr>
      <w:r>
        <w:rPr>
          <w:rFonts w:ascii="Times New Roman" w:hAnsi="Times New Roman"/>
        </w:rPr>
        <w:t xml:space="preserve">Correction du </w:t>
      </w:r>
      <w:r>
        <w:rPr>
          <w:rFonts w:ascii="Times New Roman" w:hAnsi="Times New Roman"/>
        </w:rPr>
        <w:t>déficit :</w:t>
      </w:r>
      <w:r>
        <w:rPr>
          <w:rFonts w:ascii="Times New Roman" w:hAnsi="Times New Roman"/>
        </w:rPr>
        <w:t xml:space="preserve"> augmenter le pourcentage du facteur déficitaire</w:t>
      </w:r>
    </w:p>
    <w:p>
      <w:pPr>
        <w:pStyle w:val="Heading4"/>
      </w:pPr>
      <w:r>
        <w:rPr/>
        <w:t>Tests hémostatiques normaux (</w:t>
      </w:r>
      <w:r>
        <w:rPr>
          <w:i/>
        </w:rPr>
        <w:t xml:space="preserve">signes négatifs) 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Hémostase primaire normale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Temps de saignement normal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Résistance capillaire et plaquettes normaux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 xml:space="preserve">Temps de Quick (Taux de prothrombine) normal (facteurs de la voie exogène normaux) 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 xml:space="preserve">Taux de fibrinogène, temps de trombine, </w:t>
      </w:r>
      <w:r>
        <w:rPr>
          <w:rFonts w:ascii="Times New Roman" w:hAnsi="Times New Roman"/>
        </w:rPr>
        <w:t>fibrinolyse :</w:t>
      </w:r>
      <w:r>
        <w:rPr>
          <w:rFonts w:ascii="Times New Roman" w:hAnsi="Times New Roman"/>
        </w:rPr>
        <w:t xml:space="preserve"> normaux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Hémogramme normal sauf anémie secondaire à une hémorragie</w:t>
      </w:r>
    </w:p>
    <w:p>
      <w:pPr>
        <w:pStyle w:val="Heading4"/>
      </w:pPr>
      <w:r>
        <w:rPr/>
        <w:t>Tests perturbés</w:t>
      </w:r>
    </w:p>
    <w:p>
      <w:pPr>
        <w:numPr>
          <w:ilvl w:val="1"/>
          <w:numId w:val="69"/>
        </w:numPr>
      </w:pPr>
      <w:r>
        <w:rPr>
          <w:rFonts w:ascii="Times New Roman" w:hAnsi="Times New Roman"/>
          <w:b/>
        </w:rPr>
        <w:t xml:space="preserve">Temps de céphaline avec activateur (le plus sensible) </w:t>
      </w:r>
      <w:r>
        <w:rPr>
          <w:rFonts w:ascii="Times New Roman" w:hAnsi="Times New Roman"/>
          <w:u w:val="single"/>
        </w:rPr>
        <w:t>très allongé (</w:t>
      </w:r>
      <w:r>
        <w:rPr>
          <w:rFonts w:ascii="Times New Roman" w:hAnsi="Times New Roman"/>
        </w:rPr>
        <w:t>correction après addition de plasma normal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Pour le diagnostic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Pour la surveillance par traitement substitutif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Facteur VIII ou IX abaissé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Dosage spécifique du facteur VIII et IX</w:t>
      </w:r>
    </w:p>
    <w:p>
      <w:pPr>
        <w:numPr>
          <w:ilvl w:val="2"/>
          <w:numId w:val="69"/>
        </w:numPr>
      </w:pPr>
      <w:r>
        <w:rPr>
          <w:rFonts w:ascii="Times New Roman" w:hAnsi="Times New Roman"/>
          <w:b/>
        </w:rPr>
        <w:t xml:space="preserve">Hémophilie </w:t>
      </w:r>
      <w:r>
        <w:rPr>
          <w:rFonts w:ascii="Times New Roman" w:hAnsi="Times New Roman"/>
          <w:b/>
        </w:rPr>
        <w:t>majeure :</w:t>
      </w:r>
      <w:r>
        <w:rPr>
          <w:rFonts w:ascii="Times New Roman" w:hAnsi="Times New Roman"/>
          <w:b/>
        </w:rPr>
        <w:t xml:space="preserve"> </w:t>
      </w:r>
      <w:r>
        <w:rPr>
          <w:rFonts w:ascii="Symbol" w:hAnsi="Symbol"/>
          <w:b/>
        </w:rPr>
      </w:r>
      <w:r>
        <w:rPr>
          <w:rFonts w:ascii="Times New Roman" w:hAnsi="Times New Roman"/>
          <w:b/>
        </w:rPr>
        <w:t>1%</w:t>
      </w:r>
    </w:p>
    <w:p>
      <w:pPr>
        <w:numPr>
          <w:ilvl w:val="2"/>
          <w:numId w:val="69"/>
        </w:numPr>
      </w:pPr>
      <w:r>
        <w:rPr>
          <w:rFonts w:ascii="Times New Roman" w:hAnsi="Times New Roman"/>
          <w:b/>
        </w:rPr>
        <w:t xml:space="preserve">Hémophilie </w:t>
      </w:r>
      <w:r>
        <w:rPr>
          <w:rFonts w:ascii="Times New Roman" w:hAnsi="Times New Roman"/>
          <w:b/>
        </w:rPr>
        <w:t>Modérée :</w:t>
      </w:r>
      <w:r>
        <w:rPr>
          <w:rFonts w:ascii="Times New Roman" w:hAnsi="Times New Roman"/>
          <w:b/>
        </w:rPr>
        <w:t>1-5%</w:t>
      </w:r>
    </w:p>
    <w:p>
      <w:pPr>
        <w:numPr>
          <w:ilvl w:val="2"/>
          <w:numId w:val="69"/>
        </w:numPr>
      </w:pPr>
      <w:r>
        <w:rPr>
          <w:rFonts w:ascii="Times New Roman" w:hAnsi="Times New Roman"/>
          <w:b/>
        </w:rPr>
        <w:t xml:space="preserve">Hémophilie atténuée ou </w:t>
      </w:r>
      <w:r>
        <w:rPr>
          <w:rFonts w:ascii="Times New Roman" w:hAnsi="Times New Roman"/>
          <w:b/>
        </w:rPr>
        <w:t>légère :</w:t>
      </w:r>
      <w:r>
        <w:rPr>
          <w:rFonts w:ascii="Times New Roman" w:hAnsi="Times New Roman"/>
          <w:b/>
        </w:rPr>
        <w:t xml:space="preserve"> </w:t>
      </w:r>
      <w:r>
        <w:rPr>
          <w:rFonts w:ascii="Symbol" w:hAnsi="Symbol"/>
          <w:b/>
        </w:rPr>
      </w:r>
      <w:r>
        <w:rPr>
          <w:rFonts w:ascii="Times New Roman" w:hAnsi="Times New Roman"/>
          <w:b/>
        </w:rPr>
        <w:t>5-10%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Recherche d'anticoagulant circulant (absence de correction après addition de plasma normal</w:t>
      </w:r>
      <w:r>
        <w:rPr>
          <w:rFonts w:ascii="Times New Roman" w:hAnsi="Times New Roman"/>
        </w:rPr>
        <w:t>)</w:t>
      </w:r>
    </w:p>
    <w:p>
      <w:pPr>
        <w:pStyle w:val="Heading2"/>
      </w:pPr>
      <w:r>
        <w:rPr/>
        <w:t>TRAITEMENT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 xml:space="preserve">Rappel </w:t>
      </w:r>
      <w:r>
        <w:rPr>
          <w:rFonts w:ascii="Times New Roman" w:hAnsi="Times New Roman"/>
        </w:rPr>
        <w:t>physiologique :</w:t>
      </w:r>
    </w:p>
    <w:p>
      <w:pPr>
        <w:numPr>
          <w:ilvl w:val="1"/>
          <w:numId w:val="70"/>
        </w:numPr>
      </w:pPr>
      <w:r>
        <w:rPr>
          <w:rFonts w:ascii="Times New Roman" w:hAnsi="Times New Roman"/>
        </w:rPr>
        <w:t xml:space="preserve">Déficit congénital : traitement substitutif (facteur VIII ou IX) 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>Ne pas corriger de façon continue, seulement quand accident hémorragique ou traumatismes ou blessures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>Car risque de développement d'anticorps anti-facteur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>Correction symptomatique à la demande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 xml:space="preserve">Tenir </w:t>
      </w:r>
      <w:r>
        <w:rPr>
          <w:rFonts w:ascii="Times New Roman" w:hAnsi="Times New Roman"/>
        </w:rPr>
        <w:t>compte :</w:t>
      </w:r>
    </w:p>
    <w:p>
      <w:pPr>
        <w:numPr>
          <w:ilvl w:val="1"/>
          <w:numId w:val="70"/>
        </w:numPr>
      </w:pPr>
      <w:r>
        <w:rPr>
          <w:rFonts w:ascii="Times New Roman" w:hAnsi="Times New Roman"/>
        </w:rPr>
        <w:t>De la notion de Taux sérique efficace du facteur VIII ou IX</w:t>
      </w:r>
    </w:p>
    <w:p>
      <w:pPr>
        <w:numPr>
          <w:ilvl w:val="2"/>
          <w:numId w:val="70"/>
        </w:numPr>
      </w:pPr>
      <w:r>
        <w:rPr>
          <w:rFonts w:ascii="Times New Roman" w:hAnsi="Times New Roman"/>
        </w:rPr>
        <w:t>35-40 % pour une intervention chirurgicale</w:t>
      </w:r>
    </w:p>
    <w:p>
      <w:pPr>
        <w:numPr>
          <w:ilvl w:val="2"/>
          <w:numId w:val="70"/>
        </w:numPr>
      </w:pPr>
      <w:r>
        <w:rPr>
          <w:rFonts w:ascii="Times New Roman" w:hAnsi="Times New Roman"/>
        </w:rPr>
        <w:t>25 % pour un traumatisme</w:t>
      </w:r>
    </w:p>
    <w:p>
      <w:pPr>
        <w:numPr>
          <w:ilvl w:val="1"/>
          <w:numId w:val="70"/>
        </w:numPr>
      </w:pPr>
      <w:r>
        <w:rPr>
          <w:rFonts w:ascii="Times New Roman" w:hAnsi="Times New Roman"/>
        </w:rPr>
        <w:t xml:space="preserve">De la demi-vie </w:t>
      </w:r>
      <w:r>
        <w:rPr>
          <w:rFonts w:ascii="Times New Roman" w:hAnsi="Times New Roman"/>
          <w:i/>
        </w:rPr>
        <w:t xml:space="preserve">in vivo </w:t>
      </w:r>
      <w:r>
        <w:rPr>
          <w:rFonts w:ascii="Times New Roman" w:hAnsi="Times New Roman"/>
        </w:rPr>
        <w:t>du facteur</w:t>
      </w:r>
    </w:p>
    <w:p>
      <w:pPr>
        <w:numPr>
          <w:ilvl w:val="2"/>
          <w:numId w:val="70"/>
        </w:numPr>
      </w:pPr>
      <w:r>
        <w:rPr>
          <w:rFonts w:ascii="Times New Roman" w:hAnsi="Times New Roman"/>
        </w:rPr>
        <w:t>10- 14 heures (VIII</w:t>
      </w:r>
      <w:r>
        <w:rPr>
          <w:rFonts w:ascii="Times New Roman" w:hAnsi="Times New Roman"/>
        </w:rPr>
        <w:t>) Injection</w:t>
      </w:r>
      <w:r>
        <w:rPr>
          <w:rFonts w:ascii="Times New Roman" w:hAnsi="Times New Roman"/>
          <w:i/>
        </w:rPr>
        <w:t xml:space="preserve"> de facteur 8= toutes les 12 heures</w:t>
      </w:r>
    </w:p>
    <w:p>
      <w:pPr>
        <w:numPr>
          <w:ilvl w:val="2"/>
          <w:numId w:val="70"/>
        </w:numPr>
      </w:pPr>
      <w:r>
        <w:rPr>
          <w:rFonts w:ascii="Times New Roman" w:hAnsi="Times New Roman"/>
        </w:rPr>
        <w:t xml:space="preserve">24 heures (IX) </w:t>
      </w:r>
    </w:p>
    <w:p>
      <w:pPr>
        <w:pStyle w:val="Heading3"/>
      </w:pPr>
      <w:r>
        <w:rPr/>
        <w:t xml:space="preserve">Les produits utilisés </w:t>
      </w:r>
    </w:p>
    <w:p>
      <w:pPr>
        <w:pStyle w:val="Heading4"/>
      </w:pPr>
      <w:r>
        <w:rPr/>
        <w:t xml:space="preserve">Hémophilie A 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>Sang frais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>Plasma frais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 xml:space="preserve">Plasma sec à activité </w:t>
      </w:r>
      <w:r>
        <w:rPr>
          <w:rFonts w:ascii="Times New Roman" w:hAnsi="Times New Roman"/>
        </w:rPr>
        <w:t>anti hémophilique</w:t>
      </w:r>
      <w:r>
        <w:rPr>
          <w:rFonts w:ascii="Times New Roman" w:hAnsi="Times New Roman"/>
        </w:rPr>
        <w:t xml:space="preserve"> conservé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 xml:space="preserve">Fraction </w:t>
      </w:r>
      <w:r>
        <w:rPr>
          <w:rFonts w:ascii="Times New Roman" w:hAnsi="Times New Roman"/>
        </w:rPr>
        <w:t>IA (</w:t>
      </w:r>
      <w:r>
        <w:rPr>
          <w:rFonts w:ascii="Times New Roman" w:hAnsi="Times New Roman"/>
        </w:rPr>
        <w:t>facteur VIII sous un faible volume) (</w:t>
      </w:r>
      <w:r>
        <w:rPr>
          <w:rFonts w:ascii="Times New Roman" w:hAnsi="Times New Roman"/>
          <w:i/>
        </w:rPr>
        <w:t xml:space="preserve">1 A) 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>Cryoprécipité</w:t>
      </w:r>
      <w:r>
        <w:rPr>
          <w:rFonts w:ascii="Times New Roman" w:hAnsi="Times New Roman"/>
        </w:rPr>
        <w:t xml:space="preserve"> préparé à partir de plasma frais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>Fractions animales</w:t>
      </w:r>
    </w:p>
    <w:p>
      <w:pPr>
        <w:numPr>
          <w:ilvl w:val="1"/>
          <w:numId w:val="71"/>
        </w:numPr>
      </w:pPr>
      <w:r>
        <w:rPr>
          <w:rFonts w:ascii="Times New Roman" w:hAnsi="Times New Roman"/>
          <w:b/>
        </w:rPr>
        <w:t>Concentré de facteur VIII</w:t>
      </w:r>
    </w:p>
    <w:p>
      <w:pPr>
        <w:numPr>
          <w:ilvl w:val="2"/>
          <w:numId w:val="71"/>
        </w:numPr>
      </w:pPr>
      <w:r>
        <w:rPr>
          <w:rFonts w:ascii="Times New Roman" w:hAnsi="Times New Roman"/>
        </w:rPr>
        <w:t>Factane</w:t>
      </w:r>
      <w:r>
        <w:rPr>
          <w:rFonts w:ascii="Times New Roman" w:hAnsi="Times New Roman"/>
        </w:rPr>
        <w:t xml:space="preserve">*, </w:t>
      </w:r>
      <w:r>
        <w:rPr>
          <w:rFonts w:ascii="Times New Roman" w:hAnsi="Times New Roman"/>
        </w:rPr>
        <w:t>Recombinate</w:t>
      </w:r>
      <w:r>
        <w:rPr>
          <w:rFonts w:ascii="Times New Roman" w:hAnsi="Times New Roman"/>
        </w:rPr>
        <w:t xml:space="preserve"> *</w:t>
      </w:r>
    </w:p>
    <w:p>
      <w:pPr>
        <w:numPr>
          <w:ilvl w:val="1"/>
          <w:numId w:val="71"/>
        </w:numPr>
      </w:pPr>
      <w:r>
        <w:rPr>
          <w:rFonts w:ascii="Times New Roman" w:hAnsi="Times New Roman"/>
          <w:b/>
        </w:rPr>
        <w:t>Desmopressine (</w:t>
      </w:r>
      <w:r>
        <w:rPr>
          <w:rFonts w:ascii="Times New Roman" w:hAnsi="Times New Roman"/>
          <w:b/>
        </w:rPr>
        <w:t>Minirin</w:t>
      </w:r>
      <w:r>
        <w:rPr>
          <w:rFonts w:ascii="Times New Roman" w:hAnsi="Times New Roman"/>
          <w:b/>
        </w:rPr>
        <w:t xml:space="preserve">*, </w:t>
      </w:r>
      <w:r>
        <w:rPr>
          <w:rFonts w:ascii="Times New Roman" w:hAnsi="Times New Roman"/>
          <w:b/>
        </w:rPr>
        <w:t>Octim</w:t>
      </w:r>
      <w:r>
        <w:rPr>
          <w:rFonts w:ascii="Times New Roman" w:hAnsi="Times New Roman"/>
          <w:b/>
        </w:rPr>
        <w:t xml:space="preserve">*) </w:t>
      </w:r>
    </w:p>
    <w:p>
      <w:pPr>
        <w:numPr>
          <w:ilvl w:val="2"/>
          <w:numId w:val="71"/>
        </w:numPr>
      </w:pPr>
      <w:r>
        <w:rPr>
          <w:rFonts w:ascii="Times New Roman" w:hAnsi="Times New Roman"/>
        </w:rPr>
        <w:t>En cas d'hémophilie modérée ou légère</w:t>
      </w:r>
    </w:p>
    <w:p>
      <w:pPr>
        <w:numPr>
          <w:ilvl w:val="2"/>
          <w:numId w:val="71"/>
        </w:numPr>
      </w:pPr>
      <w:r>
        <w:rPr>
          <w:rFonts w:ascii="Times New Roman" w:hAnsi="Times New Roman"/>
        </w:rPr>
        <w:t xml:space="preserve">Pour augmenter l'activité du facteur VIII </w:t>
      </w:r>
      <w:r>
        <w:rPr>
          <w:rFonts w:ascii="Times New Roman" w:hAnsi="Times New Roman"/>
          <w:i/>
        </w:rPr>
        <w:t xml:space="preserve">(n'augmente pas la synthèse) </w:t>
      </w:r>
    </w:p>
    <w:p>
      <w:pPr>
        <w:pStyle w:val="Heading4"/>
      </w:pPr>
      <w:r>
        <w:rPr/>
        <w:t>Hémophilie B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>Sang, même conservé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 xml:space="preserve">Fraction </w:t>
      </w:r>
      <w:r>
        <w:rPr>
          <w:rFonts w:ascii="Times New Roman" w:hAnsi="Times New Roman"/>
        </w:rPr>
        <w:t>PPSB (</w:t>
      </w:r>
      <w:r>
        <w:rPr>
          <w:rFonts w:ascii="Times New Roman" w:hAnsi="Times New Roman"/>
          <w:i/>
        </w:rPr>
        <w:t xml:space="preserve">complexe </w:t>
      </w:r>
      <w:r>
        <w:rPr>
          <w:rFonts w:ascii="Times New Roman" w:hAnsi="Times New Roman"/>
          <w:i/>
        </w:rPr>
        <w:t>prothrombinique</w:t>
      </w:r>
      <w:r>
        <w:rPr>
          <w:rFonts w:ascii="Times New Roman" w:hAnsi="Times New Roman"/>
          <w:i/>
        </w:rPr>
        <w:t>:</w:t>
      </w:r>
      <w:r>
        <w:rPr>
          <w:rFonts w:ascii="Times New Roman" w:hAnsi="Times New Roman"/>
          <w:i/>
        </w:rPr>
        <w:t xml:space="preserve"> Prothrombine, Proconvertine, Stewart, anti-hémophilique B), </w:t>
      </w:r>
      <w:r>
        <w:rPr>
          <w:rFonts w:ascii="Times New Roman" w:hAnsi="Times New Roman"/>
        </w:rPr>
        <w:t>apportant le facteur IX sous un faible volume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>Plasma sec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>Plasma frais</w:t>
      </w:r>
    </w:p>
    <w:p>
      <w:pPr>
        <w:numPr>
          <w:ilvl w:val="1"/>
          <w:numId w:val="71"/>
        </w:numPr>
      </w:pPr>
      <w:r>
        <w:rPr>
          <w:rFonts w:ascii="Times New Roman" w:hAnsi="Times New Roman"/>
        </w:rPr>
        <w:t>Concentré de facteur IX</w:t>
      </w:r>
    </w:p>
    <w:p>
      <w:pPr>
        <w:numPr>
          <w:ilvl w:val="2"/>
          <w:numId w:val="71"/>
        </w:numPr>
      </w:pPr>
      <w:r>
        <w:rPr>
          <w:rFonts w:ascii="Times New Roman" w:hAnsi="Times New Roman"/>
        </w:rPr>
        <w:t>Betafact</w:t>
      </w:r>
      <w:r>
        <w:rPr>
          <w:rFonts w:ascii="Times New Roman" w:hAnsi="Times New Roman"/>
        </w:rPr>
        <w:t xml:space="preserve">*, </w:t>
      </w:r>
      <w:r>
        <w:rPr>
          <w:rFonts w:ascii="Times New Roman" w:hAnsi="Times New Roman"/>
        </w:rPr>
        <w:t>Mononine</w:t>
      </w:r>
      <w:r>
        <w:rPr>
          <w:rFonts w:ascii="Times New Roman" w:hAnsi="Times New Roman"/>
        </w:rPr>
        <w:t xml:space="preserve">*, </w:t>
      </w:r>
      <w:r>
        <w:rPr>
          <w:rFonts w:ascii="Times New Roman" w:hAnsi="Times New Roman"/>
        </w:rPr>
        <w:t>Benefix</w:t>
      </w:r>
      <w:r>
        <w:rPr>
          <w:rFonts w:ascii="Times New Roman" w:hAnsi="Times New Roman"/>
        </w:rPr>
        <w:t>*</w:t>
      </w:r>
    </w:p>
    <w:p>
      <w:pPr/>
    </w:p>
    <w:p>
      <w:pPr>
        <w:pStyle w:val="Heading3"/>
      </w:pPr>
      <w:r>
        <w:rPr/>
        <w:t xml:space="preserve">Les indications thérapeutiques </w:t>
      </w:r>
    </w:p>
    <w:p>
      <w:pPr>
        <w:pStyle w:val="Heading4"/>
      </w:pPr>
      <w:r>
        <w:rPr/>
        <w:t>Intervention chirurgicale</w:t>
      </w:r>
    </w:p>
    <w:p>
      <w:pPr>
        <w:numPr>
          <w:ilvl w:val="1"/>
          <w:numId w:val="72"/>
        </w:numPr>
      </w:pPr>
      <w:r>
        <w:rPr>
          <w:rFonts w:ascii="Times New Roman" w:hAnsi="Times New Roman"/>
        </w:rPr>
        <w:t>Facteurs concentrés (</w:t>
      </w:r>
      <w:r>
        <w:rPr>
          <w:rFonts w:ascii="Times New Roman" w:hAnsi="Times New Roman"/>
          <w:i/>
        </w:rPr>
        <w:t xml:space="preserve">à privilégier) </w:t>
      </w:r>
    </w:p>
    <w:p>
      <w:pPr>
        <w:numPr>
          <w:ilvl w:val="1"/>
          <w:numId w:val="72"/>
        </w:numPr>
      </w:pPr>
      <w:r>
        <w:rPr>
          <w:rFonts w:ascii="Times New Roman" w:hAnsi="Times New Roman"/>
        </w:rPr>
        <w:t>Fraction IA, PPSB</w:t>
      </w:r>
    </w:p>
    <w:p>
      <w:pPr>
        <w:numPr>
          <w:ilvl w:val="1"/>
          <w:numId w:val="72"/>
        </w:numPr>
      </w:pPr>
      <w:r>
        <w:rPr>
          <w:rFonts w:ascii="Times New Roman" w:hAnsi="Times New Roman"/>
        </w:rPr>
        <w:t>Calculer le taux de facteur à injecter et la périodicité du renouvellement</w:t>
      </w:r>
    </w:p>
    <w:p>
      <w:pPr>
        <w:numPr>
          <w:ilvl w:val="1"/>
          <w:numId w:val="72"/>
        </w:numPr>
      </w:pPr>
      <w:r>
        <w:rPr>
          <w:rFonts w:ascii="Times New Roman" w:hAnsi="Times New Roman"/>
        </w:rPr>
        <w:t>Contrôler l'efficacité par TCA</w:t>
      </w:r>
    </w:p>
    <w:p>
      <w:pPr>
        <w:numPr>
          <w:ilvl w:val="1"/>
          <w:numId w:val="72"/>
        </w:numPr>
      </w:pPr>
      <w:r>
        <w:rPr>
          <w:rFonts w:ascii="Times New Roman" w:hAnsi="Times New Roman"/>
        </w:rPr>
        <w:t xml:space="preserve">Maintenir jusqu'à cicatrisation complète </w:t>
      </w:r>
      <w:r>
        <w:rPr>
          <w:rFonts w:ascii="Times New Roman" w:hAnsi="Times New Roman"/>
          <w:b/>
        </w:rPr>
        <w:t>8 à 10 jours (</w:t>
      </w:r>
      <w:r>
        <w:rPr>
          <w:rFonts w:ascii="Times New Roman" w:hAnsi="Times New Roman"/>
          <w:i/>
        </w:rPr>
        <w:t xml:space="preserve">arrêter même si pas encore cicatrisé, recherche d'autre alternative) </w:t>
      </w:r>
    </w:p>
    <w:p>
      <w:pPr>
        <w:pStyle w:val="Heading4"/>
      </w:pPr>
      <w:r>
        <w:rPr/>
        <w:t>Traumatisme avec saignement ou non</w:t>
      </w:r>
    </w:p>
    <w:p>
      <w:pPr>
        <w:numPr>
          <w:ilvl w:val="1"/>
          <w:numId w:val="72"/>
        </w:numPr>
      </w:pPr>
      <w:r>
        <w:rPr>
          <w:rFonts w:ascii="Times New Roman" w:hAnsi="Times New Roman"/>
        </w:rPr>
        <w:t>Hématome grave ou blessure</w:t>
      </w:r>
    </w:p>
    <w:p>
      <w:pPr>
        <w:numPr>
          <w:ilvl w:val="1"/>
          <w:numId w:val="72"/>
        </w:numPr>
      </w:pPr>
      <w:r>
        <w:rPr>
          <w:rFonts w:ascii="Times New Roman" w:hAnsi="Times New Roman"/>
        </w:rPr>
        <w:t>Tous les traitements sont possibles</w:t>
      </w:r>
    </w:p>
    <w:p>
      <w:pPr>
        <w:pStyle w:val="Heading4"/>
      </w:pPr>
      <w:r>
        <w:rPr/>
        <w:t>Prophylaxie :</w:t>
      </w:r>
    </w:p>
    <w:p>
      <w:pPr>
        <w:numPr>
          <w:ilvl w:val="1"/>
          <w:numId w:val="72"/>
        </w:numPr>
      </w:pPr>
      <w:r>
        <w:rPr>
          <w:rFonts w:ascii="Times New Roman" w:hAnsi="Times New Roman"/>
        </w:rPr>
        <w:t>Présence de facteurs de risque de saignement : efforts physiques, infections sévères</w:t>
      </w:r>
    </w:p>
    <w:p>
      <w:pPr>
        <w:numPr>
          <w:ilvl w:val="1"/>
          <w:numId w:val="72"/>
        </w:numPr>
      </w:pPr>
      <w:r>
        <w:rPr>
          <w:rFonts w:ascii="Times New Roman" w:hAnsi="Times New Roman"/>
        </w:rPr>
        <w:t>Actes invasifs</w:t>
      </w:r>
      <w:r>
        <w:rPr>
          <w:rFonts w:ascii="Times New Roman" w:hAnsi="Times New Roman"/>
        </w:rPr>
        <w:t xml:space="preserve"> : endoscopies, extraction dentaire, soins </w:t>
      </w:r>
      <w:r>
        <w:rPr>
          <w:rFonts w:ascii="Times New Roman" w:hAnsi="Times New Roman"/>
        </w:rPr>
        <w:t>dentaires, ...</w:t>
      </w:r>
      <w:r>
        <w:rPr>
          <w:rFonts w:ascii="Times New Roman" w:hAnsi="Times New Roman"/>
        </w:rPr>
        <w:t xml:space="preserve"> </w:t>
      </w:r>
    </w:p>
    <w:p>
      <w:pPr/>
    </w:p>
    <w:p>
      <w:pPr>
        <w:pStyle w:val="Heading4"/>
      </w:pPr>
      <w:r>
        <w:rPr/>
        <w:t xml:space="preserve">Posologie </w:t>
      </w:r>
    </w:p>
    <w:p>
      <w:pPr>
        <w:numPr>
          <w:ilvl w:val="0"/>
          <w:numId w:val="73"/>
        </w:numPr>
      </w:pPr>
      <w:r>
        <w:rPr>
          <w:rFonts w:ascii="Times New Roman" w:hAnsi="Times New Roman"/>
        </w:rPr>
        <w:t>Une unité par kg de facteur VIII augmente le taux de 2%</w:t>
      </w:r>
    </w:p>
    <w:p>
      <w:pPr>
        <w:numPr>
          <w:ilvl w:val="1"/>
          <w:numId w:val="73"/>
        </w:numPr>
      </w:pPr>
      <w:r>
        <w:rPr>
          <w:rFonts w:ascii="Times New Roman" w:hAnsi="Times New Roman"/>
        </w:rPr>
        <w:t>15-60 UI/kg par perfusion x2 ou x3 /j</w:t>
      </w:r>
    </w:p>
    <w:p>
      <w:pPr>
        <w:numPr>
          <w:ilvl w:val="0"/>
          <w:numId w:val="73"/>
        </w:numPr>
      </w:pPr>
      <w:r>
        <w:rPr>
          <w:rFonts w:ascii="Times New Roman" w:hAnsi="Times New Roman"/>
        </w:rPr>
        <w:t>Une unité par kg de concentré de facteur IX augmente le taux de 1%</w:t>
      </w:r>
    </w:p>
    <w:p>
      <w:pPr>
        <w:numPr>
          <w:ilvl w:val="1"/>
          <w:numId w:val="73"/>
        </w:numPr>
      </w:pPr>
      <w:r>
        <w:rPr>
          <w:rFonts w:ascii="Times New Roman" w:hAnsi="Times New Roman"/>
        </w:rPr>
        <w:t>30-130 UI/kg par perfusion (</w:t>
      </w:r>
      <w:r>
        <w:rPr>
          <w:rFonts w:ascii="Times New Roman" w:hAnsi="Times New Roman"/>
          <w:i/>
        </w:rPr>
        <w:t>une fois par jour, demi-vie : 24h)</w:t>
      </w:r>
    </w:p>
    <w:p>
      <w:pPr/>
    </w:p>
    <w:p>
      <w:pPr>
        <w:pStyle w:val="Heading4"/>
      </w:pPr>
      <w:r>
        <w:rPr/>
        <w:t xml:space="preserve">Traitement adjuvant </w:t>
      </w:r>
      <w:r>
        <w:rPr/>
        <w:t xml:space="preserve">Utiliser un </w:t>
      </w:r>
      <w:r>
        <w:rPr/>
        <w:t>anti fibrinolytique</w:t>
      </w:r>
      <w:r>
        <w:rPr/>
        <w:t xml:space="preserve"> pour maintenir le caillot formé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 xml:space="preserve">Acide tranexamique (Exacyl*) 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>1cp ou 1amp x3/j (10mg/kg-20mg/kg/j)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 xml:space="preserve">Vitamine K1 pour adjuvant thérapeutique des hémophiles B légère et modérée (car IX est vitamine K-dépendant) </w:t>
      </w:r>
    </w:p>
    <w:p>
      <w:pPr/>
    </w:p>
    <w:p>
      <w:pPr>
        <w:pStyle w:val="Heading4"/>
      </w:pPr>
      <w:r>
        <w:rPr/>
        <w:t xml:space="preserve">Traitements locaux </w:t>
      </w:r>
    </w:p>
    <w:p>
      <w:pPr>
        <w:numPr>
          <w:ilvl w:val="0"/>
          <w:numId w:val="75"/>
        </w:numPr>
      </w:pPr>
      <w:r>
        <w:rPr>
          <w:rFonts w:ascii="Times New Roman" w:hAnsi="Times New Roman"/>
          <w:b/>
        </w:rPr>
        <w:t>Bandage compressif prolongé</w:t>
      </w:r>
    </w:p>
    <w:p>
      <w:pPr>
        <w:numPr>
          <w:ilvl w:val="1"/>
          <w:numId w:val="75"/>
        </w:numPr>
      </w:pPr>
      <w:r>
        <w:rPr>
          <w:rFonts w:ascii="Times New Roman" w:hAnsi="Times New Roman"/>
        </w:rPr>
        <w:t>Glaçage</w:t>
      </w:r>
    </w:p>
    <w:p>
      <w:pPr>
        <w:numPr>
          <w:ilvl w:val="1"/>
          <w:numId w:val="75"/>
        </w:numPr>
      </w:pPr>
      <w:r>
        <w:rPr>
          <w:rFonts w:ascii="Times New Roman" w:hAnsi="Times New Roman"/>
        </w:rPr>
        <w:t>Ne jamais ponctionner un hématome en absence de traitement substitutif</w:t>
      </w:r>
    </w:p>
    <w:p>
      <w:pPr>
        <w:numPr>
          <w:ilvl w:val="0"/>
          <w:numId w:val="75"/>
        </w:numPr>
      </w:pPr>
      <w:r>
        <w:rPr>
          <w:rFonts w:ascii="Times New Roman" w:hAnsi="Times New Roman"/>
          <w:b/>
        </w:rPr>
        <w:t xml:space="preserve">Hémostatiques locaux </w:t>
      </w:r>
      <w:r>
        <w:rPr>
          <w:rFonts w:ascii="Times New Roman" w:hAnsi="Times New Roman"/>
          <w:b/>
          <w:i/>
        </w:rPr>
        <w:t xml:space="preserve">à base de fibrinogène (colle ou poudre) </w:t>
      </w:r>
    </w:p>
    <w:p>
      <w:pPr>
        <w:numPr>
          <w:ilvl w:val="1"/>
          <w:numId w:val="75"/>
        </w:numPr>
      </w:pPr>
      <w:r>
        <w:rPr>
          <w:rFonts w:ascii="Times New Roman" w:hAnsi="Times New Roman"/>
        </w:rPr>
        <w:t>Colgen</w:t>
      </w:r>
      <w:r>
        <w:rPr>
          <w:rFonts w:ascii="Times New Roman" w:hAnsi="Times New Roman"/>
        </w:rPr>
        <w:t xml:space="preserve">*, </w:t>
      </w:r>
      <w:r>
        <w:rPr>
          <w:rFonts w:ascii="Times New Roman" w:hAnsi="Times New Roman"/>
        </w:rPr>
        <w:t>Coalgan</w:t>
      </w:r>
      <w:r>
        <w:rPr>
          <w:rFonts w:ascii="Times New Roman" w:hAnsi="Times New Roman"/>
        </w:rPr>
        <w:t xml:space="preserve">*, </w:t>
      </w:r>
      <w:r>
        <w:rPr>
          <w:rFonts w:ascii="Times New Roman" w:hAnsi="Times New Roman"/>
        </w:rPr>
        <w:t>Surgicel</w:t>
      </w:r>
      <w:r>
        <w:rPr>
          <w:rFonts w:ascii="Times New Roman" w:hAnsi="Times New Roman"/>
        </w:rPr>
        <w:t>*</w:t>
      </w:r>
    </w:p>
    <w:p>
      <w:pPr>
        <w:numPr>
          <w:ilvl w:val="1"/>
          <w:numId w:val="75"/>
        </w:numPr>
      </w:pPr>
      <w:r>
        <w:rPr>
          <w:rFonts w:ascii="Times New Roman" w:hAnsi="Times New Roman"/>
        </w:rPr>
        <w:t>Biocol</w:t>
      </w:r>
      <w:r>
        <w:rPr>
          <w:rFonts w:ascii="Times New Roman" w:hAnsi="Times New Roman"/>
        </w:rPr>
        <w:t xml:space="preserve"> (poudre, solution) </w:t>
      </w:r>
    </w:p>
    <w:p>
      <w:pPr/>
    </w:p>
    <w:p>
      <w:pPr>
        <w:pStyle w:val="Heading4"/>
      </w:pPr>
      <w:r>
        <w:rPr/>
        <w:t xml:space="preserve">Traitement prophylactique 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 xml:space="preserve">Prévention de tout risque hémorragique (bonne éducation du patient) 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 xml:space="preserve">Injection IM </w:t>
      </w:r>
      <w:r>
        <w:rPr>
          <w:rFonts w:ascii="Times New Roman" w:hAnsi="Times New Roman"/>
          <w:u w:val="single"/>
        </w:rPr>
        <w:t>interdite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>Tamponnement compressif en cas de ponction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 xml:space="preserve">Maîtriser tout foyer infectieux 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>Mise en état bucco-dentaire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>Kinésithérapie :</w:t>
      </w:r>
      <w:r>
        <w:rPr>
          <w:rFonts w:ascii="Times New Roman" w:hAnsi="Times New Roman"/>
        </w:rPr>
        <w:t xml:space="preserve"> rééducation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>Prise en charge socio-psychologique</w:t>
      </w:r>
    </w:p>
    <w:p>
      <w:pPr/>
    </w:p>
    <w:p>
      <w:pPr>
        <w:pStyle w:val="Heading3"/>
      </w:pPr>
      <w:r>
        <w:rPr/>
        <w:t>CARTE D'HEMOPHILE</w:t>
      </w:r>
    </w:p>
    <w:p>
      <w:pPr>
        <w:numPr>
          <w:ilvl w:val="0"/>
          <w:numId w:val="77"/>
        </w:numPr>
      </w:pPr>
      <w:r>
        <w:rPr>
          <w:rFonts w:ascii="Times New Roman" w:hAnsi="Times New Roman"/>
        </w:rPr>
        <w:t>Précisant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Le type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 xml:space="preserve">Degré, groupe sanguin 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Hôpital ou centre de référence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Médecin référent à contacter</w:t>
      </w:r>
    </w:p>
    <w:p>
      <w:pPr/>
    </w:p>
    <w:p>
      <w:pPr>
        <w:pStyle w:val="Heading3"/>
      </w:pPr>
      <w:r>
        <w:rPr/>
        <w:t>Si développement d'anticorps anti-facteur</w:t>
      </w:r>
    </w:p>
    <w:p>
      <w:pPr>
        <w:numPr>
          <w:ilvl w:val="0"/>
          <w:numId w:val="78"/>
        </w:numPr>
      </w:pPr>
      <w:r>
        <w:rPr>
          <w:rFonts w:ascii="Times New Roman" w:hAnsi="Times New Roman"/>
        </w:rPr>
        <w:t>Les sujets deviennent résistants au traitement habituel</w:t>
      </w:r>
    </w:p>
    <w:p>
      <w:pPr>
        <w:numPr>
          <w:ilvl w:val="0"/>
          <w:numId w:val="78"/>
        </w:numPr>
      </w:pPr>
      <w:r>
        <w:rPr>
          <w:rFonts w:ascii="Times New Roman" w:hAnsi="Times New Roman"/>
        </w:rPr>
        <w:t xml:space="preserve">Utiliser des concentrés de facteur </w:t>
      </w:r>
      <w:r>
        <w:rPr>
          <w:rFonts w:ascii="Times New Roman" w:hAnsi="Times New Roman"/>
        </w:rPr>
        <w:t>VIIa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Novoseven</w:t>
      </w:r>
      <w:r>
        <w:rPr>
          <w:rFonts w:ascii="Times New Roman" w:hAnsi="Times New Roman"/>
        </w:rPr>
        <w:t>*</w:t>
      </w:r>
      <w:r>
        <w:rPr>
          <w:rFonts w:ascii="Times New Roman" w:hAnsi="Times New Roman"/>
        </w:rPr>
        <w:t>) potentialiser</w:t>
      </w:r>
      <w:r>
        <w:rPr>
          <w:rFonts w:ascii="Times New Roman" w:hAnsi="Times New Roman"/>
          <w:i/>
        </w:rPr>
        <w:t xml:space="preserve"> la voie extrinsèque</w:t>
      </w:r>
    </w:p>
    <w:p>
      <w:pPr>
        <w:numPr>
          <w:ilvl w:val="0"/>
          <w:numId w:val="78"/>
        </w:numPr>
      </w:pPr>
      <w:r>
        <w:rPr>
          <w:rFonts w:ascii="Times New Roman" w:hAnsi="Times New Roman"/>
        </w:rPr>
        <w:t>Faux facteurs VIII</w:t>
      </w:r>
      <w:r>
        <w:rPr>
          <w:rFonts w:ascii="Times New Roman" w:hAnsi="Times New Roman"/>
        </w:rPr>
        <w:t xml:space="preserve"> pour hémophilie A</w:t>
      </w:r>
    </w:p>
    <w:p>
      <w:pPr>
        <w:numPr>
          <w:ilvl w:val="1"/>
          <w:numId w:val="78"/>
        </w:numPr>
      </w:pPr>
      <w:r>
        <w:rPr>
          <w:rFonts w:ascii="Times New Roman" w:hAnsi="Times New Roman"/>
        </w:rPr>
        <w:t>ACE910(</w:t>
      </w:r>
      <w:r>
        <w:rPr>
          <w:rFonts w:ascii="Times New Roman" w:hAnsi="Times New Roman"/>
        </w:rPr>
        <w:t>emicizumab</w:t>
      </w:r>
      <w:r>
        <w:rPr>
          <w:rFonts w:ascii="Times New Roman" w:hAnsi="Times New Roman"/>
        </w:rPr>
        <w:t xml:space="preserve">) </w:t>
      </w:r>
    </w:p>
    <w:p>
      <w:pPr>
        <w:numPr>
          <w:ilvl w:val="2"/>
          <w:numId w:val="78"/>
        </w:numPr>
      </w:pPr>
      <w:r>
        <w:rPr>
          <w:rFonts w:ascii="Times New Roman" w:hAnsi="Times New Roman"/>
        </w:rPr>
        <w:t xml:space="preserve">Anticorps bispécifique qui </w:t>
      </w:r>
      <w:r>
        <w:rPr>
          <w:rFonts w:ascii="Times New Roman" w:hAnsi="Times New Roman"/>
          <w:b/>
        </w:rPr>
        <w:t>mime l'effet du facteur VIII</w:t>
      </w:r>
    </w:p>
    <w:p>
      <w:pPr>
        <w:numPr>
          <w:ilvl w:val="3"/>
          <w:numId w:val="78"/>
        </w:numPr>
      </w:pPr>
      <w:r>
        <w:rPr>
          <w:rFonts w:ascii="Times New Roman" w:hAnsi="Times New Roman"/>
        </w:rPr>
        <w:t>Reconnaît et associe les facteurs IX et X de la coagulation</w:t>
      </w:r>
    </w:p>
    <w:p>
      <w:pPr>
        <w:numPr>
          <w:ilvl w:val="3"/>
          <w:numId w:val="78"/>
        </w:numPr>
      </w:pPr>
      <w:r>
        <w:rPr>
          <w:rFonts w:ascii="Times New Roman" w:hAnsi="Times New Roman"/>
        </w:rPr>
        <w:t>Se substitue au FVIII absent chez les hémophiles A</w:t>
      </w:r>
    </w:p>
    <w:p>
      <w:pPr>
        <w:numPr>
          <w:ilvl w:val="3"/>
          <w:numId w:val="78"/>
        </w:numPr>
      </w:pPr>
      <w:r>
        <w:rPr>
          <w:rFonts w:ascii="Times New Roman" w:hAnsi="Times New Roman"/>
        </w:rPr>
        <w:t>Assume la fonction du facteur VIII</w:t>
      </w:r>
    </w:p>
    <w:p>
      <w:pPr>
        <w:numPr>
          <w:ilvl w:val="2"/>
          <w:numId w:val="78"/>
        </w:numPr>
      </w:pPr>
      <w:r>
        <w:rPr>
          <w:rFonts w:ascii="Times New Roman" w:hAnsi="Times New Roman"/>
        </w:rPr>
        <w:t xml:space="preserve">Administration à titre préventif par </w:t>
      </w:r>
      <w:r>
        <w:rPr>
          <w:rFonts w:ascii="Times New Roman" w:hAnsi="Times New Roman"/>
          <w:b/>
        </w:rPr>
        <w:t>injection sous-cutanée</w:t>
      </w:r>
      <w:r>
        <w:rPr>
          <w:rFonts w:ascii="Times New Roman" w:hAnsi="Times New Roman"/>
        </w:rPr>
        <w:t xml:space="preserve"> hebdomadaire (demi-vie d'environ 3semaines)</w:t>
      </w:r>
    </w:p>
    <w:p>
      <w:pPr>
        <w:numPr>
          <w:ilvl w:val="2"/>
          <w:numId w:val="78"/>
        </w:numPr>
      </w:pPr>
      <w:r>
        <w:rPr>
          <w:rFonts w:ascii="Times New Roman" w:hAnsi="Times New Roman"/>
        </w:rPr>
        <w:t xml:space="preserve">Etudes en cours chez les hémophiles </w:t>
      </w:r>
      <w:r>
        <w:rPr>
          <w:rFonts w:ascii="Times New Roman" w:hAnsi="Times New Roman"/>
          <w:b/>
        </w:rPr>
        <w:t>avec</w:t>
      </w:r>
      <w:r>
        <w:rPr>
          <w:rFonts w:ascii="Times New Roman" w:hAnsi="Times New Roman"/>
        </w:rPr>
        <w:t xml:space="preserve"> et </w:t>
      </w:r>
      <w:r>
        <w:rPr>
          <w:rFonts w:ascii="Times New Roman" w:hAnsi="Times New Roman"/>
          <w:b/>
        </w:rPr>
        <w:t>sans</w:t>
      </w:r>
      <w:r>
        <w:rPr>
          <w:rFonts w:ascii="Times New Roman" w:hAnsi="Times New Roman"/>
        </w:rPr>
        <w:t xml:space="preserve"> inhibiteurs (</w:t>
      </w:r>
      <w:r>
        <w:rPr>
          <w:rFonts w:ascii="Times New Roman" w:hAnsi="Times New Roman"/>
          <w:i/>
        </w:rPr>
        <w:t xml:space="preserve">na ni-développé 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  <w:i/>
        </w:rPr>
        <w:t xml:space="preserve"> na </w:t>
      </w:r>
      <w:r>
        <w:rPr>
          <w:rFonts w:ascii="Times New Roman" w:hAnsi="Times New Roman"/>
          <w:i/>
        </w:rPr>
        <w:t>Tsia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2"/>
          <w:numId w:val="78"/>
        </w:numPr>
      </w:pPr>
      <w:r>
        <w:rPr>
          <w:rFonts w:ascii="Times New Roman" w:hAnsi="Times New Roman"/>
        </w:rPr>
        <w:t>Statut de "</w:t>
      </w:r>
      <w:r>
        <w:rPr>
          <w:rFonts w:ascii="Times New Roman" w:hAnsi="Times New Roman"/>
          <w:b/>
        </w:rPr>
        <w:t xml:space="preserve">percée thérapeutique" </w:t>
      </w:r>
      <w:r>
        <w:rPr>
          <w:rFonts w:ascii="Times New Roman" w:hAnsi="Times New Roman"/>
        </w:rPr>
        <w:t>attribué par la FDA au vu des résultats prometteurs des premières études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