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LYMPHOME HODGKINIEN OU MALADIE DE HODGKIN</w:t>
      </w:r>
    </w:p>
    <w:p>
      <w:pPr/>
      <w:r>
        <w:rPr>
          <w:rFonts w:ascii="Times New Roman" w:hAnsi="Times New Roman"/>
        </w:rPr>
        <w:t>Lymphome : Cancer du système lymphoïde</w:t>
      </w:r>
    </w:p>
    <w:p>
      <w:pPr/>
      <w:r>
        <w:rPr>
          <w:rFonts w:ascii="Times New Roman" w:hAnsi="Times New Roman"/>
        </w:rPr>
        <w:t>Ne touche pas seulement les ganglions mais le système lymphoïde</w:t>
      </w:r>
    </w:p>
    <w:p>
      <w:pPr>
        <w:pStyle w:val="Heading2"/>
      </w:pPr>
      <w:r>
        <w:rPr/>
        <w:t>Définition</w:t>
      </w:r>
      <w:r>
        <w:rPr/>
        <w:t xml:space="preserve"> 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Prolifération maligne ganglionnaire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Caractérisé par les cellules de Sternberg d’origine lymphocytaire B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D’étiologie inconnue mais associé à EBV chez le sujet jeune (50% des cas)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Incidence biphasique : 1</w:t>
      </w:r>
      <w:r>
        <w:rPr>
          <w:rFonts w:ascii="Times New Roman" w:hAnsi="Times New Roman"/>
        </w:rPr>
        <w:t>er</w:t>
      </w:r>
      <w:r>
        <w:rPr>
          <w:rFonts w:ascii="Times New Roman" w:hAnsi="Times New Roman"/>
        </w:rPr>
        <w:t xml:space="preserve"> pic 20-40 ans, 2è pic après 40 ans</w:t>
      </w:r>
    </w:p>
    <w:p>
      <w:pPr>
        <w:pStyle w:val="Heading2"/>
      </w:pPr>
      <w:r>
        <w:rPr/>
        <w:t>Circonstances de diagnostic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Adénopathies périphériques</w:t>
      </w:r>
    </w:p>
    <w:p>
      <w:pPr>
        <w:pStyle w:val="ListParagraph"/>
        <w:spacing w:line="360" w:lineRule="auto"/>
        <w:numPr>
          <w:ilvl w:val="2"/>
          <w:numId w:val="59"/>
        </w:numPr>
      </w:pPr>
      <w:r>
        <w:rPr>
          <w:rFonts w:ascii="Times New Roman" w:hAnsi="Times New Roman"/>
        </w:rPr>
        <w:t>Isolées, cervicales</w:t>
      </w:r>
    </w:p>
    <w:p>
      <w:pPr>
        <w:pStyle w:val="ListParagraph"/>
        <w:spacing w:line="360" w:lineRule="auto"/>
        <w:numPr>
          <w:ilvl w:val="2"/>
          <w:numId w:val="59"/>
        </w:numPr>
      </w:pPr>
      <w:r>
        <w:rPr>
          <w:rFonts w:ascii="Times New Roman" w:hAnsi="Times New Roman"/>
        </w:rPr>
        <w:t>Polyadénopathies</w:t>
      </w:r>
      <w:r>
        <w:rPr>
          <w:rFonts w:ascii="Times New Roman" w:hAnsi="Times New Roman"/>
        </w:rPr>
        <w:t>, indolores, asymétriques, fermes, ne suppurant pas (complication loco-régionale : dysphagie-œsophage, dyspnée-trachée)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Adénopathies profondes, médiastinales avec fièvre et splénomégalie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 xml:space="preserve">Fièvre + sueurs nocturnes, amaigrissement </w:t>
      </w:r>
    </w:p>
    <w:p>
      <w:pPr>
        <w:pStyle w:val="ListParagraph"/>
        <w:spacing w:line="360" w:lineRule="auto"/>
        <w:numPr>
          <w:ilvl w:val="1"/>
          <w:numId w:val="59"/>
        </w:numPr>
      </w:pPr>
      <w:r>
        <w:rPr>
          <w:rFonts w:ascii="Times New Roman" w:hAnsi="Times New Roman"/>
        </w:rPr>
        <w:t>Prurit persistant</w:t>
      </w:r>
    </w:p>
    <w:p>
      <w:pPr>
        <w:pStyle w:val="ListParagraph"/>
        <w:spacing w:line="360" w:lineRule="auto"/>
        <w:numPr>
          <w:ilvl w:val="2"/>
          <w:numId w:val="59"/>
        </w:numPr>
      </w:pPr>
      <w:r>
        <w:rPr>
          <w:rFonts w:ascii="Times New Roman" w:hAnsi="Times New Roman"/>
        </w:rPr>
        <w:t>Ingestion d’alcool -►douleurs au niveau des adénopathies</w:t>
      </w:r>
    </w:p>
    <w:p>
      <w:pPr>
        <w:pStyle w:val="Heading2"/>
      </w:pPr>
      <w:r>
        <w:rPr/>
        <w:t>Arguments du Diagnostic</w:t>
      </w:r>
    </w:p>
    <w:p>
      <w:pPr>
        <w:pStyle w:val="Heading3"/>
      </w:pPr>
      <w:r>
        <w:rPr/>
        <w:t>Diagnostic anapath</w:t>
      </w:r>
    </w:p>
    <w:p>
      <w:pPr>
        <w:pStyle w:val="ListParagraph"/>
        <w:spacing w:line="360" w:lineRule="auto"/>
        <w:numPr>
          <w:ilvl w:val="2"/>
          <w:numId w:val="59"/>
        </w:numPr>
      </w:pPr>
      <w:r>
        <w:rPr>
          <w:rFonts w:ascii="Times New Roman" w:hAnsi="Times New Roman"/>
        </w:rPr>
        <w:t>Cellules de Sternberg à la biopsie ganglionnaire</w:t>
      </w:r>
    </w:p>
    <w:p>
      <w:pPr>
        <w:pStyle w:val="ListParagraph"/>
        <w:spacing w:line="360" w:lineRule="auto"/>
        <w:numPr>
          <w:ilvl w:val="3"/>
          <w:numId w:val="59"/>
        </w:numPr>
      </w:pPr>
      <w:r>
        <w:rPr>
          <w:rFonts w:ascii="Times New Roman" w:hAnsi="Times New Roman"/>
        </w:rPr>
        <w:t>Grandes cellules basophiles, noyau polylobé, gros nucléoles, très bleus, chromatine œdématiée</w:t>
      </w:r>
    </w:p>
    <w:p>
      <w:pPr>
        <w:pStyle w:val="ListParagraph"/>
        <w:spacing w:line="360" w:lineRule="auto"/>
        <w:numPr>
          <w:ilvl w:val="3"/>
          <w:numId w:val="59"/>
        </w:numPr>
      </w:pPr>
      <w:r>
        <w:rPr>
          <w:rFonts w:ascii="Times New Roman" w:hAnsi="Times New Roman"/>
        </w:rPr>
        <w:t>Classification histologique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Type 1 : riche en lymphocytes, 5% des maladies Hodgkiniens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 xml:space="preserve">Type 2 : </w:t>
      </w:r>
      <w:r>
        <w:rPr>
          <w:rFonts w:ascii="Times New Roman" w:hAnsi="Times New Roman"/>
        </w:rPr>
        <w:t>scléronodulaire</w:t>
      </w:r>
      <w:r>
        <w:rPr>
          <w:rFonts w:ascii="Times New Roman" w:hAnsi="Times New Roman"/>
        </w:rPr>
        <w:t>, 60%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Type 3 : à cellularité mixte, 30 %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Type 4 : à déplétion lymphocytaire, 5%</w:t>
      </w:r>
    </w:p>
    <w:p>
      <w:pPr>
        <w:pStyle w:val="ListParagraph"/>
        <w:spacing w:line="360" w:lineRule="auto"/>
        <w:numPr>
          <w:ilvl w:val="3"/>
          <w:numId w:val="59"/>
        </w:numPr>
      </w:pPr>
      <w:r>
        <w:rPr>
          <w:rFonts w:ascii="Times New Roman" w:hAnsi="Times New Roman"/>
        </w:rPr>
        <w:t>Immunophénotypage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CD 30+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CD 15+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Rarement CD 20+</w:t>
      </w:r>
    </w:p>
    <w:p>
      <w:pPr>
        <w:pStyle w:val="ListParagraph"/>
        <w:spacing w:line="360" w:lineRule="auto"/>
        <w:numPr>
          <w:ilvl w:val="4"/>
          <w:numId w:val="59"/>
        </w:numPr>
      </w:pPr>
      <w:r>
        <w:rPr>
          <w:rFonts w:ascii="Times New Roman" w:hAnsi="Times New Roman"/>
        </w:rPr>
        <w:t>Toujours CD 3-</w:t>
      </w:r>
    </w:p>
    <w:p>
      <w:pPr>
        <w:pStyle w:val="Heading2"/>
      </w:pPr>
      <w:r>
        <w:rPr/>
        <w:t>Bilan d'extension et bilan d'évolutivité</w:t>
      </w:r>
    </w:p>
    <w:p>
      <w:pPr>
        <w:pStyle w:val="Heading3"/>
      </w:pPr>
      <w:r>
        <w:rPr/>
        <w:t>Extension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Par voie lymphatique ou par voie hématogène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Examen clinique (</w:t>
      </w:r>
      <w:r>
        <w:rPr>
          <w:rFonts w:ascii="Times New Roman" w:hAnsi="Times New Roman"/>
        </w:rPr>
        <w:t>polyadénopathie</w:t>
      </w:r>
      <w:r>
        <w:rPr>
          <w:rFonts w:ascii="Times New Roman" w:hAnsi="Times New Roman"/>
        </w:rPr>
        <w:t xml:space="preserve"> des aires superficielles et profondes) +échographie, scanner : aires ganglionnaires (siège, taille), foie et rate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Biopsie médullaire</w:t>
      </w:r>
    </w:p>
    <w:p>
      <w:pPr>
        <w:pStyle w:val="Heading3"/>
      </w:pPr>
      <w:r>
        <w:rPr/>
        <w:t>Evolutivité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 xml:space="preserve">Signes cliniques d’évolutivité : amaigrissement, fièvre </w:t>
      </w:r>
      <w:r>
        <w:rPr>
          <w:rFonts w:ascii="Times New Roman" w:hAnsi="Times New Roman"/>
          <w:i/>
        </w:rPr>
        <w:t xml:space="preserve">prolongée + de 8 jours, </w:t>
      </w:r>
      <w:r>
        <w:rPr>
          <w:rFonts w:ascii="Times New Roman" w:hAnsi="Times New Roman"/>
        </w:rPr>
        <w:t>sueurs nocturnes+++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Signes biologiques d’évolutivité :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 xml:space="preserve">VSH élevée 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Hyperfibrinémie</w:t>
      </w:r>
      <w:r>
        <w:rPr>
          <w:rFonts w:ascii="Times New Roman" w:hAnsi="Times New Roman"/>
        </w:rPr>
        <w:t xml:space="preserve">, augmentation CRP et </w:t>
      </w:r>
      <w:r>
        <w:rPr>
          <w:rFonts w:ascii="Times New Roman" w:hAnsi="Times New Roman"/>
        </w:rPr>
        <w:t>alphaglobuline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Hyperleucocytose, hyperéosinophilie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Thrombocytose</w:t>
      </w:r>
    </w:p>
    <w:p>
      <w:pPr>
        <w:numPr>
          <w:ilvl w:val="2"/>
          <w:numId w:val="38"/>
        </w:numPr>
      </w:pPr>
      <w:r>
        <w:rPr>
          <w:rFonts w:ascii="Times New Roman" w:hAnsi="Times New Roman"/>
        </w:rPr>
        <w:t>Anémie Inflammatoire (microcytaire hypochrome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 xml:space="preserve">Examen clé : SCANNER cervico-thoraco-abdomino-pelvien (permet la localisation ganglionnaire </w:t>
      </w:r>
      <w:r>
        <w:rPr>
          <w:rFonts w:ascii="Times New Roman" w:hAnsi="Times New Roman"/>
          <w:i/>
        </w:rPr>
        <w:t xml:space="preserve">superficielle ou profonde </w:t>
      </w:r>
      <w:r>
        <w:rPr>
          <w:rFonts w:ascii="Times New Roman" w:hAnsi="Times New Roman"/>
        </w:rPr>
        <w:t xml:space="preserve">et/ou viscérale </w:t>
      </w:r>
    </w:p>
    <w:p>
      <w:pPr/>
    </w:p>
    <w:p>
      <w:pPr>
        <w:pStyle w:val="Heading3"/>
      </w:pPr>
      <w:r>
        <w:rPr/>
        <w:t xml:space="preserve">CLASSIFICATION DE Ann Arbor (valable pour la maladie de Hodgkin et les lymphomes non-hodgkinien) 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 xml:space="preserve">I : atteinte d'un seul territoire ganglionnaire (exemple cervical) 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II : deux territoires ou plus d'un seul côté du diaphragme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III : atteinte ganglionnaire sus et sous-diaphragmatique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 xml:space="preserve">IV : localisation viscérale ou médullaire 13minutes (l'atteinte de la rate n'est pas une atteinte viscérale) 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Polychimiothérapie</w:t>
      </w:r>
    </w:p>
    <w:p>
      <w:pPr>
        <w:pStyle w:val="Heading4"/>
      </w:pPr>
      <w:r>
        <w:rPr/>
        <w:t>Référence : ABVD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 xml:space="preserve">Un cycle associe : (un cycle=28 jours ici) </w:t>
      </w:r>
    </w:p>
    <w:p>
      <w:pPr>
        <w:numPr>
          <w:ilvl w:val="3"/>
          <w:numId w:val="40"/>
        </w:numPr>
      </w:pPr>
      <w:r>
        <w:rPr>
          <w:rFonts w:ascii="Times New Roman" w:hAnsi="Times New Roman"/>
        </w:rPr>
        <w:t>Adriamycine 25mg/m</w:t>
      </w:r>
      <w:r>
        <w:rPr>
          <w:rFonts w:ascii="Times New Roman" w:hAnsi="Times New Roman"/>
        </w:rPr>
        <w:t>2 J</w:t>
      </w:r>
      <w:r>
        <w:rPr>
          <w:rFonts w:ascii="Times New Roman" w:hAnsi="Times New Roman"/>
        </w:rPr>
        <w:t>1 et J4</w:t>
      </w:r>
    </w:p>
    <w:p>
      <w:pPr>
        <w:numPr>
          <w:ilvl w:val="3"/>
          <w:numId w:val="40"/>
        </w:numPr>
      </w:pPr>
      <w:r>
        <w:rPr>
          <w:rFonts w:ascii="Times New Roman" w:hAnsi="Times New Roman"/>
        </w:rPr>
        <w:t>Bléomycine 10mg/m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J1 et J4</w:t>
      </w:r>
    </w:p>
    <w:p>
      <w:pPr>
        <w:numPr>
          <w:ilvl w:val="3"/>
          <w:numId w:val="40"/>
        </w:numPr>
      </w:pPr>
      <w:r>
        <w:rPr>
          <w:rFonts w:ascii="Times New Roman" w:hAnsi="Times New Roman"/>
        </w:rPr>
        <w:t>Vinblastine 6mg/m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J1 et J15</w:t>
      </w:r>
    </w:p>
    <w:p>
      <w:pPr>
        <w:numPr>
          <w:ilvl w:val="3"/>
          <w:numId w:val="40"/>
        </w:numPr>
      </w:pPr>
      <w:r>
        <w:rPr>
          <w:rFonts w:ascii="Times New Roman" w:hAnsi="Times New Roman"/>
        </w:rPr>
        <w:t>Dacarbazine</w:t>
      </w:r>
      <w:r>
        <w:rPr>
          <w:rFonts w:ascii="Times New Roman" w:hAnsi="Times New Roman"/>
        </w:rPr>
        <w:t xml:space="preserve"> 375mg/m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J1 et J14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A répéter tous les 28 jours</w:t>
      </w:r>
    </w:p>
    <w:p>
      <w:pPr>
        <w:pStyle w:val="Heading4"/>
      </w:pPr>
      <w:r>
        <w:rPr/>
        <w:t>Radiothérapie :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Limitée à l'irradiation des territoires atteints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30-36 grays en 4 semaines</w:t>
      </w:r>
    </w:p>
    <w:p>
      <w:pPr>
        <w:numPr>
          <w:ilvl w:val="2"/>
          <w:numId w:val="40"/>
        </w:numPr>
      </w:pPr>
      <w:r>
        <w:rPr>
          <w:rFonts w:ascii="Times New Roman" w:hAnsi="Times New Roman"/>
          <w:i/>
        </w:rPr>
        <w:t xml:space="preserve">Ne fonctionne pas pour les maladies à stade disséminées </w:t>
      </w:r>
    </w:p>
    <w:p>
      <w:pPr>
        <w:pStyle w:val="Heading2"/>
      </w:pPr>
      <w:r>
        <w:rPr/>
        <w:t>PRONOSTIC</w:t>
      </w:r>
    </w:p>
    <w:p>
      <w:pPr>
        <w:pStyle w:val="Heading3"/>
      </w:pPr>
      <w:r>
        <w:rPr/>
        <w:t xml:space="preserve">Facteurs de pronostic péjoratif 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Sexe masculin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Age&gt;45ans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Hypoalbuminémie (il y a perte de protéine 19mn 30)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Anémie&lt;10,5g/dl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Hyperleucocytose &gt;15G/L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Lymphopénie&lt;0,6G/L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 xml:space="preserve">Masse médiastinale volumineuse (ADP profondes médiastinales-&gt; compression-&gt; décès </w:t>
      </w:r>
    </w:p>
    <w:p>
      <w:pPr>
        <w:pStyle w:val="Heading3"/>
      </w:pPr>
      <w:r>
        <w:rPr/>
        <w:t>Taux de survie à 10ans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90% pour stade I et II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70% pour stade III</w:t>
      </w:r>
    </w:p>
    <w:p>
      <w:pPr>
        <w:numPr>
          <w:ilvl w:val="1"/>
          <w:numId w:val="41"/>
        </w:numPr>
      </w:pPr>
      <w:r>
        <w:rPr>
          <w:rFonts w:ascii="Times New Roman" w:hAnsi="Times New Roman"/>
        </w:rPr>
        <w:t>50% pour stade IV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