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LYMPHOMES (MALINS) NON HODGKINIENS</w:t>
      </w:r>
    </w:p>
    <w:p>
      <w:pPr>
        <w:pStyle w:val="Heading2"/>
      </w:pPr>
      <w:r>
        <w:rPr/>
        <w:t>DEFINITION</w:t>
      </w:r>
      <w:r>
        <w:rPr/>
        <w:t xml:space="preserve"> </w:t>
      </w:r>
    </w:p>
    <w:p>
      <w:pPr/>
      <w:r>
        <w:rPr>
          <w:rFonts w:ascii="Times New Roman" w:hAnsi="Times New Roman"/>
          <w:i/>
        </w:rPr>
        <w:t>Lymphome : cancer des organes lymphoïdes</w:t>
      </w:r>
    </w:p>
    <w:p>
      <w:pPr/>
      <w:r>
        <w:rPr>
          <w:rFonts w:ascii="Times New Roman" w:hAnsi="Times New Roman"/>
          <w:i/>
        </w:rPr>
        <w:t>En 2 : hodgkinien et non hodgkinien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>Ce terme désigne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Diverses proliférations lymphoïdes (lymphocytes pathologiques)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D'origine extra médullaire (à point de départ extra médullaire)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Sans cellules de Sternberg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>Classification selon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Anatomopathologie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Histochimie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Cytogénétique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Biologie moléculaire</w:t>
      </w:r>
    </w:p>
    <w:p>
      <w:pPr>
        <w:pStyle w:val="Heading2"/>
      </w:pPr>
      <w:r>
        <w:rPr/>
        <w:t>ETIOLOGIE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Non déterminée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Facteurs favorisants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Infections bactériennes ou virales VIH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Déficits immunitaires génétiques ou acquis</w:t>
      </w:r>
    </w:p>
    <w:p>
      <w:pPr>
        <w:pStyle w:val="Heading3"/>
      </w:pPr>
      <w:r>
        <w:rPr/>
        <w:t>Ganglion lymphatique normal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 xml:space="preserve">Zone corticale contenant les follicules lymphoïdes 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Zone para corticale et médullaire riche en vaisseaux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 xml:space="preserve">Sinus marginal sous-capsulaire dans lequel s'abouchent les canaux lymphatiques afférents et des sinus inter folliculaire et médullaires. </w:t>
      </w:r>
    </w:p>
    <w:p>
      <w:pPr>
        <w:numPr>
          <w:ilvl w:val="0"/>
          <w:numId w:val="44"/>
        </w:numPr>
      </w:pPr>
      <w:r>
        <w:rPr>
          <w:rFonts w:ascii="Times New Roman" w:hAnsi="Times New Roman"/>
          <w:i/>
        </w:rPr>
        <w:t>Lieu de maturation des lymphocytes B and para cortical, pendant la vie fœtale. Régresse et non palpable a la naissance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Follicules lymphoïdes constitués de LB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 xml:space="preserve">Follicules primaires 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 xml:space="preserve">Follicules secondaires, apparaissant après stimulation antigénique, 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Qui comportent un centre germinatif et une couronne de petits lymphocytes formant la zone du manteau</w:t>
      </w:r>
    </w:p>
    <w:p>
      <w:pPr>
        <w:pStyle w:val="ListParagraph"/>
        <w:numPr>
          <w:ilvl w:val="0"/>
          <w:numId w:val="99"/>
        </w:numPr>
      </w:pPr>
      <w:r>
        <w:rPr/>
        <w:t>Zone inter folliculaire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Constituée de LT, de veinules postcapillaires par lesquelles ils transitent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Pouvant comporter aussi quelques lymphocytes B dispersés et des plasmocytes</w:t>
      </w:r>
    </w:p>
    <w:p>
      <w:pPr/>
    </w:p>
    <w:p>
      <w:pPr>
        <w:pStyle w:val="Heading3"/>
      </w:pPr>
      <w:r>
        <w:rPr/>
        <w:t>Circonstances de diagnostic : signes comme Hodgkin mais atteintes extra ganglionnaires non négligeable</w:t>
      </w:r>
    </w:p>
    <w:p>
      <w:pPr>
        <w:pStyle w:val="Heading4"/>
      </w:pPr>
      <w:r>
        <w:rPr/>
        <w:t>Présentation clinique polymorphe selon la localisation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ADP isolées ou associées à une fièvre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Sueurs, prurit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Splénomégalie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Localisation viscérale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ORL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Digestives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Osseuses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 xml:space="preserve">Cutanées 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SNC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Etc. Vaginale, cérébrale, nez. Tous les organes</w:t>
      </w:r>
    </w:p>
    <w:p>
      <w:pPr>
        <w:pStyle w:val="Heading4"/>
      </w:pPr>
      <w:r>
        <w:rPr/>
        <w:t>Anatomopathologie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Biopsie d'un organe atteint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Description anatomo-pathologique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Structure nodulaire ou diffuse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Morphologie des cellules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 xml:space="preserve">Etude immunohistochimique (en majorité B) </w:t>
      </w:r>
    </w:p>
    <w:p>
      <w:pPr>
        <w:numPr>
          <w:ilvl w:val="2"/>
          <w:numId w:val="45"/>
        </w:numPr>
      </w:pPr>
      <w:r>
        <w:rPr>
          <w:rFonts w:ascii="Times New Roman" w:hAnsi="Times New Roman"/>
        </w:rPr>
        <w:t>Existence de translocation chromosomique</w:t>
      </w:r>
    </w:p>
    <w:p>
      <w:pPr/>
    </w:p>
    <w:p>
      <w:pPr/>
      <w:r>
        <w:rPr>
          <w:rFonts w:ascii="Times New Roman" w:hAnsi="Times New Roman"/>
        </w:rPr>
        <w:t>Résumé : 43minutes</w:t>
      </w:r>
    </w:p>
    <w:p>
      <w:pPr>
        <w:pStyle w:val="Heading4"/>
      </w:pPr>
      <w:r>
        <w:rPr/>
        <w:t>Classification selon les régions ganglionnaires :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Ganglionnaires 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Lymphoplasmocytaire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De la zone du manteau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Du manteau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Folliculaire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Diffus : à grandes ou à petites cellules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De Burkitt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MALT (</w:t>
      </w:r>
      <w:r>
        <w:rPr>
          <w:rFonts w:ascii="Times New Roman" w:hAnsi="Times New Roman"/>
        </w:rPr>
        <w:t>mucosae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associated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lymphoide</w:t>
      </w:r>
      <w:r>
        <w:rPr>
          <w:rFonts w:ascii="Times New Roman" w:hAnsi="Times New Roman"/>
        </w:rPr>
        <w:t xml:space="preserve"> tissue)</w:t>
      </w:r>
      <w:r>
        <w:rPr>
          <w:rFonts w:ascii="Times New Roman" w:hAnsi="Times New Roman"/>
          <w:i/>
        </w:rPr>
        <w:t xml:space="preserve"> and organes digestifs : intestin (plaques de Peyer), estomac</w:t>
      </w:r>
    </w:p>
    <w:p>
      <w:pPr/>
    </w:p>
    <w:p>
      <w:pPr>
        <w:pStyle w:val="Heading2"/>
      </w:pPr>
      <w:r>
        <w:rPr/>
        <w:t>BILAN D'EXTENSION</w:t>
      </w:r>
    </w:p>
    <w:p>
      <w:pPr>
        <w:pStyle w:val="Heading3"/>
      </w:pPr>
      <w:r>
        <w:rPr/>
        <w:t>Adapté au type histologique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Examen clinique général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Examen ORL : en fonction du signe clinique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Ponction lombaire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Fibroscopie gastrique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Coloscopie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Echographie abdominale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  <w:b/>
        </w:rPr>
        <w:t>Scanner</w:t>
      </w:r>
      <w:r>
        <w:rPr>
          <w:rFonts w:ascii="Times New Roman" w:hAnsi="Times New Roman"/>
        </w:rPr>
        <w:t xml:space="preserve"> cervico-thoraco-abdomino-pelvien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Signes généraux : sueurs, fièvre, amaigrissement</w:t>
      </w:r>
    </w:p>
    <w:p>
      <w:pPr>
        <w:numPr>
          <w:ilvl w:val="1"/>
          <w:numId w:val="47"/>
        </w:numPr>
      </w:pPr>
      <w:r>
        <w:rPr>
          <w:rFonts w:ascii="Times New Roman" w:hAnsi="Times New Roman"/>
        </w:rPr>
        <w:t>Biologie</w:t>
      </w:r>
    </w:p>
    <w:p>
      <w:pPr>
        <w:numPr>
          <w:ilvl w:val="2"/>
          <w:numId w:val="47"/>
        </w:numPr>
      </w:pPr>
      <w:r>
        <w:rPr>
          <w:rFonts w:ascii="Times New Roman" w:hAnsi="Times New Roman"/>
        </w:rPr>
        <w:t>Augmentation de la VSH</w:t>
      </w:r>
    </w:p>
    <w:p>
      <w:pPr>
        <w:numPr>
          <w:ilvl w:val="2"/>
          <w:numId w:val="47"/>
        </w:numPr>
      </w:pPr>
      <w:r>
        <w:rPr>
          <w:rFonts w:ascii="Times New Roman" w:hAnsi="Times New Roman"/>
        </w:rPr>
        <w:t>Hyperfibrinémie</w:t>
      </w:r>
    </w:p>
    <w:p>
      <w:pPr>
        <w:numPr>
          <w:ilvl w:val="2"/>
          <w:numId w:val="47"/>
        </w:numPr>
      </w:pPr>
      <w:r>
        <w:rPr>
          <w:rFonts w:ascii="Times New Roman" w:hAnsi="Times New Roman"/>
        </w:rPr>
        <w:t xml:space="preserve">Elévation de la LDH </w:t>
      </w:r>
      <w:r>
        <w:rPr>
          <w:rFonts w:ascii="Times New Roman" w:hAnsi="Times New Roman"/>
          <w:i/>
        </w:rPr>
        <w:t>&gt;2000/5000 unités =prolifération rapide</w:t>
      </w:r>
      <w:r>
        <w:rPr>
          <w:rFonts w:ascii="Times New Roman" w:hAnsi="Times New Roman"/>
        </w:rPr>
        <w:t xml:space="preserve"> (reflet de la masse tumorale et de la cinétique cellulaire) </w:t>
      </w:r>
    </w:p>
    <w:p>
      <w:pPr>
        <w:numPr>
          <w:ilvl w:val="2"/>
          <w:numId w:val="47"/>
        </w:numPr>
      </w:pPr>
      <w:r>
        <w:rPr>
          <w:rFonts w:ascii="Times New Roman" w:hAnsi="Times New Roman"/>
        </w:rPr>
        <w:t>Elévation de alpha-2-microglouline</w:t>
      </w:r>
    </w:p>
    <w:p>
      <w:pPr>
        <w:numPr>
          <w:ilvl w:val="2"/>
          <w:numId w:val="47"/>
        </w:numPr>
      </w:pPr>
      <w:r>
        <w:rPr>
          <w:rFonts w:ascii="Times New Roman" w:hAnsi="Times New Roman"/>
        </w:rPr>
        <w:t>Anomalies immunologiques</w:t>
      </w:r>
    </w:p>
    <w:p>
      <w:pPr>
        <w:numPr>
          <w:ilvl w:val="3"/>
          <w:numId w:val="47"/>
        </w:numPr>
      </w:pPr>
      <w:r>
        <w:rPr>
          <w:rFonts w:ascii="Times New Roman" w:hAnsi="Times New Roman"/>
        </w:rPr>
        <w:t>Hypogammaglobulinémie</w:t>
      </w:r>
    </w:p>
    <w:p>
      <w:pPr>
        <w:numPr>
          <w:ilvl w:val="3"/>
          <w:numId w:val="47"/>
        </w:numPr>
      </w:pPr>
      <w:r>
        <w:rPr>
          <w:rFonts w:ascii="Times New Roman" w:hAnsi="Times New Roman"/>
        </w:rPr>
        <w:t>Immunoglobuline monoclonale</w:t>
      </w:r>
    </w:p>
    <w:p>
      <w:pPr>
        <w:numPr>
          <w:ilvl w:val="3"/>
          <w:numId w:val="47"/>
        </w:numPr>
      </w:pPr>
      <w:r>
        <w:rPr>
          <w:rFonts w:ascii="Times New Roman" w:hAnsi="Times New Roman"/>
        </w:rPr>
        <w:t xml:space="preserve">Anticorps anti-érythrocytaires (test a l'anti globuline de Coombs) </w:t>
      </w:r>
    </w:p>
    <w:p>
      <w:pPr>
        <w:pStyle w:val="Heading2"/>
      </w:pPr>
      <w:r>
        <w:rPr/>
        <w:t>EVOLUTION ET PRONOSTIC</w:t>
      </w:r>
    </w:p>
    <w:p>
      <w:pPr>
        <w:pStyle w:val="Heading3"/>
      </w:pPr>
      <w:r>
        <w:rPr/>
        <w:t>Principaux éléments du pronostic :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 xml:space="preserve">Anatomo-pathologie </w:t>
      </w:r>
      <w:r>
        <w:rPr>
          <w:rFonts w:ascii="Times New Roman" w:hAnsi="Times New Roman"/>
          <w:i/>
        </w:rPr>
        <w:t>Type histologique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>Cinq facteurs</w:t>
      </w:r>
    </w:p>
    <w:p>
      <w:pPr>
        <w:numPr>
          <w:ilvl w:val="2"/>
          <w:numId w:val="48"/>
        </w:numPr>
      </w:pPr>
      <w:r>
        <w:rPr>
          <w:rFonts w:ascii="Times New Roman" w:hAnsi="Times New Roman"/>
        </w:rPr>
        <w:t>Age</w:t>
      </w:r>
    </w:p>
    <w:p>
      <w:pPr>
        <w:numPr>
          <w:ilvl w:val="2"/>
          <w:numId w:val="48"/>
        </w:numPr>
      </w:pPr>
      <w:r>
        <w:rPr>
          <w:rFonts w:ascii="Times New Roman" w:hAnsi="Times New Roman"/>
        </w:rPr>
        <w:t>Stade de Ann Arbor III et IV</w:t>
      </w:r>
    </w:p>
    <w:p>
      <w:pPr>
        <w:numPr>
          <w:ilvl w:val="2"/>
          <w:numId w:val="48"/>
        </w:numPr>
      </w:pPr>
      <w:r>
        <w:rPr>
          <w:rFonts w:ascii="Times New Roman" w:hAnsi="Times New Roman"/>
        </w:rPr>
        <w:t>Indice d’activité de</w:t>
      </w:r>
      <w:r>
        <w:rPr>
          <w:rFonts w:ascii="Times New Roman" w:hAnsi="Times New Roman"/>
          <w:i/>
        </w:rPr>
        <w:t xml:space="preserve"> prolifération cellulaire a la cytologie</w:t>
      </w:r>
    </w:p>
    <w:p>
      <w:pPr>
        <w:numPr>
          <w:ilvl w:val="2"/>
          <w:numId w:val="48"/>
        </w:numPr>
      </w:pPr>
      <w:r>
        <w:rPr>
          <w:rFonts w:ascii="Times New Roman" w:hAnsi="Times New Roman"/>
        </w:rPr>
        <w:t xml:space="preserve">LDH sériques </w:t>
      </w:r>
      <w:r>
        <w:rPr>
          <w:rFonts w:ascii="Times New Roman" w:hAnsi="Times New Roman"/>
          <w:i/>
        </w:rPr>
        <w:t>rapidité d'évolution</w:t>
      </w:r>
    </w:p>
    <w:p>
      <w:pPr>
        <w:numPr>
          <w:ilvl w:val="2"/>
          <w:numId w:val="48"/>
        </w:numPr>
      </w:pPr>
      <w:r>
        <w:rPr>
          <w:rFonts w:ascii="Times New Roman" w:hAnsi="Times New Roman"/>
        </w:rPr>
        <w:t xml:space="preserve">Nombre de localisations ganglionnaires </w:t>
      </w:r>
      <w:r>
        <w:rPr>
          <w:rFonts w:ascii="Times New Roman" w:hAnsi="Times New Roman"/>
          <w:i/>
        </w:rPr>
        <w:t>comme le stade de Ann Arbor</w:t>
      </w:r>
    </w:p>
    <w:p>
      <w:pPr/>
      <w:r>
        <w:rPr/>
        <w:t xml:space="preserve">-&gt; ces éléments constituent l'Indice Pronostique International (IPI) </w:t>
      </w:r>
    </w:p>
    <w:p>
      <w:pPr/>
    </w:p>
    <w:p>
      <w:pPr>
        <w:pStyle w:val="Heading3"/>
      </w:pPr>
      <w:r>
        <w:rPr/>
        <w:t>Différents types :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Lymphomes de malignité très élevée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 de Burkitt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Lymphomes lymphoblastiques (comme LAL, 57 min) 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Lymphomes agressifs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Lymphomes B a grandes cellules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Lymphomes T et NK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Lymphomes du manteau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Lymphomes d'évolution lente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Lymphomes folliculaires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Lymphomes </w:t>
      </w:r>
      <w:r>
        <w:rPr>
          <w:rFonts w:ascii="Times New Roman" w:hAnsi="Times New Roman"/>
        </w:rPr>
        <w:t>lymphocytiques</w:t>
      </w:r>
      <w:r>
        <w:rPr>
          <w:rFonts w:ascii="Times New Roman" w:hAnsi="Times New Roman"/>
        </w:rPr>
        <w:t xml:space="preserve"> (comme LLC) 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Lymphomes B de la zone marginale, du tissu </w:t>
      </w:r>
      <w:r>
        <w:rPr>
          <w:rFonts w:ascii="Times New Roman" w:hAnsi="Times New Roman"/>
        </w:rPr>
        <w:t>lymphoide</w:t>
      </w:r>
      <w:r>
        <w:rPr>
          <w:rFonts w:ascii="Times New Roman" w:hAnsi="Times New Roman"/>
        </w:rPr>
        <w:t xml:space="preserve"> associé aux muqueuses (MALT) 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Les autres formes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Lymphomes des immunodéprimés (VIH) 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Les </w:t>
      </w:r>
      <w:r>
        <w:rPr>
          <w:rFonts w:ascii="Times New Roman" w:hAnsi="Times New Roman"/>
        </w:rPr>
        <w:t>hématodermies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Lymphomes du médiastin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Lymphomes cérébraux primitifs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Etc. </w:t>
      </w:r>
    </w:p>
    <w:p>
      <w:pPr>
        <w:ind w:left="-360"/>
      </w:pPr>
      <w:r>
        <w:rPr>
          <w:rFonts w:ascii="Times New Roman" w:hAnsi="Times New Roman"/>
          <w:i/>
        </w:rPr>
        <w:t>Immunohistochimie : détermine si type B ou T</w:t>
      </w:r>
    </w:p>
    <w:p>
      <w:pPr>
        <w:ind w:left="-360"/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LYMPHOME B à grandes cellules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 xml:space="preserve">Polychimiothérapie de type CHOP + AntiCD20(lymphome B) 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CHOP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Cyclophosphamide 750 mg/m</w:t>
      </w:r>
      <w:r>
        <w:rPr>
          <w:rFonts w:ascii="Times New Roman" w:hAnsi="Times New Roman"/>
        </w:rPr>
        <w:t xml:space="preserve">2 </w:t>
      </w:r>
      <w:r>
        <w:rPr>
          <w:rFonts w:ascii="Times New Roman" w:hAnsi="Times New Roman"/>
        </w:rPr>
        <w:t>J1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Adriamycine 50mg/m2 J1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Vincristine 1,4mg/m2(&lt;2mg) J1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Prednisone 1mg/kg/j J1 à J15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>Répète tous les 15-21J</w:t>
      </w:r>
    </w:p>
    <w:p>
      <w:pPr>
        <w:numPr>
          <w:ilvl w:val="0"/>
          <w:numId w:val="50"/>
        </w:numPr>
      </w:pPr>
      <w:r>
        <w:rPr>
          <w:rFonts w:ascii="Times New Roman" w:hAnsi="Times New Roman"/>
        </w:rPr>
        <w:t xml:space="preserve">Traitement anti-rachidien préventif </w:t>
      </w:r>
      <w:r>
        <w:rPr>
          <w:rFonts w:ascii="Times New Roman" w:hAnsi="Times New Roman"/>
          <w:i/>
        </w:rPr>
        <w:t>Pour les lymphomes avec atteinte du SNC : chimiothérapie intrathécale</w:t>
      </w:r>
    </w:p>
    <w:p>
      <w:pPr/>
      <w:r>
        <w:rPr>
          <w:rFonts w:ascii="Times New Roman" w:hAnsi="Times New Roman"/>
        </w:rPr>
        <w:t>Nombre de chimiothérapie :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Selon les formes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 xml:space="preserve">Localisées 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3 cures de CHOP puis radiothérapie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 xml:space="preserve">Disséminées 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 xml:space="preserve">8 cycles de CHOP ou chimio apparentée ACBVD et anti-CD20 </w:t>
      </w:r>
      <w:r>
        <w:rPr>
          <w:rFonts w:ascii="Times New Roman" w:hAnsi="Times New Roman"/>
          <w:i/>
        </w:rPr>
        <w:t>espacées de 21j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Si mauvais pronostic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Chimiothérapie + greffe de moelle</w:t>
      </w:r>
    </w:p>
    <w:p>
      <w:pPr>
        <w:pStyle w:val="Heading3"/>
      </w:pPr>
      <w:r>
        <w:rPr/>
        <w:t>Lymphomes folliculaires :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Formes localisées : exérèse chirurgicale (</w:t>
      </w:r>
      <w:r>
        <w:rPr>
          <w:rFonts w:ascii="Times New Roman" w:hAnsi="Times New Roman"/>
          <w:i/>
        </w:rPr>
        <w:t xml:space="preserve">pas de chimio </w:t>
      </w:r>
      <w:r>
        <w:rPr>
          <w:rFonts w:ascii="Times New Roman" w:hAnsi="Times New Roman"/>
          <w:i/>
        </w:rPr>
        <w:t>siiii</w:t>
      </w:r>
      <w:r>
        <w:rPr>
          <w:rFonts w:ascii="Times New Roman" w:hAnsi="Times New Roman"/>
          <w:i/>
        </w:rPr>
        <w:t xml:space="preserve"> 1h10)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Formes disséminées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Faible masse tumorale : abstention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Forte masse : chimiothérapie</w:t>
      </w:r>
    </w:p>
    <w:p>
      <w:pPr>
        <w:numPr>
          <w:ilvl w:val="3"/>
          <w:numId w:val="51"/>
        </w:numPr>
      </w:pPr>
      <w:r>
        <w:rPr>
          <w:rFonts w:ascii="Times New Roman" w:hAnsi="Times New Roman"/>
        </w:rPr>
        <w:t xml:space="preserve">CHOP ou COP ou </w:t>
      </w:r>
      <w:r>
        <w:rPr>
          <w:rFonts w:ascii="Times New Roman" w:hAnsi="Times New Roman"/>
        </w:rPr>
        <w:t>fludarabine</w:t>
      </w:r>
      <w:r>
        <w:rPr>
          <w:rFonts w:ascii="Times New Roman" w:hAnsi="Times New Roman"/>
        </w:rPr>
        <w:t xml:space="preserve"> + anti CD20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