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VAQUEZ OU POLYGLOBULIE VRAIE : POLYGLOBULIE PROLIFERATIVE</w:t>
      </w:r>
    </w:p>
    <w:p>
      <w:pPr>
        <w:numPr>
          <w:ilvl w:val="0"/>
          <w:numId w:val="117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myéloprolifératif</w:t>
      </w:r>
    </w:p>
    <w:p>
      <w:pPr>
        <w:numPr>
          <w:ilvl w:val="1"/>
          <w:numId w:val="117"/>
        </w:numPr>
      </w:pPr>
      <w:r>
        <w:rPr>
          <w:rFonts w:ascii="Times New Roman" w:hAnsi="Times New Roman"/>
        </w:rPr>
        <w:t xml:space="preserve">Envahissement de la </w:t>
      </w:r>
      <w:r>
        <w:rPr>
          <w:rFonts w:ascii="Times New Roman" w:hAnsi="Times New Roman"/>
        </w:rPr>
        <w:t>moelle</w:t>
      </w:r>
      <w:r>
        <w:rPr>
          <w:rFonts w:ascii="Times New Roman" w:hAnsi="Times New Roman"/>
        </w:rPr>
        <w:t xml:space="preserve"> par prolifération anarchique de cellules souches érythroblastiques</w:t>
      </w:r>
    </w:p>
    <w:p>
      <w:pPr>
        <w:numPr>
          <w:ilvl w:val="0"/>
          <w:numId w:val="117"/>
        </w:numPr>
      </w:pPr>
      <w:r>
        <w:rPr>
          <w:rFonts w:ascii="Times New Roman" w:hAnsi="Times New Roman"/>
        </w:rPr>
        <w:t>Se voit surtout chez le sujet adulte</w:t>
      </w:r>
    </w:p>
    <w:p>
      <w:pPr/>
    </w:p>
    <w:p>
      <w:pPr>
        <w:pStyle w:val="Heading2"/>
      </w:pPr>
      <w:r>
        <w:rPr/>
        <w:t>DIAGNOSTIC</w:t>
      </w:r>
    </w:p>
    <w:p>
      <w:pPr>
        <w:numPr>
          <w:ilvl w:val="0"/>
          <w:numId w:val="118"/>
        </w:numPr>
      </w:pPr>
      <w:r>
        <w:rPr>
          <w:rFonts w:ascii="Times New Roman" w:hAnsi="Times New Roman"/>
        </w:rPr>
        <w:t xml:space="preserve">HÉMOGRAMME : GR, 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Hte</w:t>
      </w:r>
      <w:r>
        <w:rPr>
          <w:rFonts w:ascii="Times New Roman" w:hAnsi="Times New Roman"/>
        </w:rPr>
        <w:t xml:space="preserve"> : Augmentés +++</w:t>
      </w:r>
    </w:p>
    <w:p>
      <w:pPr>
        <w:numPr>
          <w:ilvl w:val="0"/>
          <w:numId w:val="118"/>
        </w:numPr>
      </w:pPr>
      <w:r>
        <w:rPr>
          <w:rFonts w:ascii="Times New Roman" w:hAnsi="Times New Roman"/>
        </w:rPr>
        <w:t>Médullogramme : hyperplasie érythroblastique</w:t>
      </w:r>
    </w:p>
    <w:p>
      <w:pPr>
        <w:numPr>
          <w:ilvl w:val="0"/>
          <w:numId w:val="118"/>
        </w:numPr>
      </w:pPr>
      <w:r>
        <w:rPr>
          <w:rFonts w:ascii="Times New Roman" w:hAnsi="Times New Roman"/>
        </w:rPr>
        <w:t>Culture de cellules souches érythroblastiques : on note une poussée des érythroblastes sans EPO</w:t>
      </w:r>
    </w:p>
    <w:p>
      <w:pPr>
        <w:numPr>
          <w:ilvl w:val="0"/>
          <w:numId w:val="118"/>
        </w:numPr>
      </w:pPr>
      <w:r>
        <w:rPr>
          <w:rFonts w:ascii="Times New Roman" w:hAnsi="Times New Roman"/>
        </w:rPr>
        <w:t xml:space="preserve">Biologie moléculaire : Mutation Janus kinase JAK2(qui est voie de signalisation qui va stimuler la génération des érythroblastes) </w:t>
      </w:r>
    </w:p>
    <w:p>
      <w:pPr>
        <w:numPr>
          <w:ilvl w:val="0"/>
          <w:numId w:val="118"/>
        </w:numPr>
      </w:pPr>
      <w:r>
        <w:rPr>
          <w:rFonts w:ascii="Times New Roman" w:hAnsi="Times New Roman"/>
        </w:rPr>
        <w:t>Masse sanguine augmentée : x2 à x3 de la normale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>
        <w:numPr>
          <w:ilvl w:val="1"/>
          <w:numId w:val="119"/>
        </w:numPr>
      </w:pPr>
      <w:r>
        <w:rPr>
          <w:rFonts w:ascii="Times New Roman" w:hAnsi="Times New Roman"/>
        </w:rPr>
        <w:t>Éviter les complications (</w:t>
      </w:r>
      <w:r>
        <w:rPr>
          <w:rFonts w:ascii="Times New Roman" w:hAnsi="Times New Roman"/>
          <w:i/>
        </w:rPr>
        <w:t xml:space="preserve">MTE) </w:t>
      </w:r>
    </w:p>
    <w:p>
      <w:pPr>
        <w:numPr>
          <w:ilvl w:val="1"/>
          <w:numId w:val="119"/>
        </w:numPr>
      </w:pPr>
      <w:r>
        <w:rPr>
          <w:rFonts w:ascii="Times New Roman" w:hAnsi="Times New Roman"/>
        </w:rPr>
        <w:t>Diminuer la production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Traitement symptomatique</w:t>
      </w:r>
      <w:r>
        <w:rPr/>
        <w:t xml:space="preserve"> : SAIGNEE</w:t>
      </w:r>
    </w:p>
    <w:p>
      <w:pPr>
        <w:numPr>
          <w:ilvl w:val="2"/>
          <w:numId w:val="119"/>
        </w:numPr>
      </w:pPr>
      <w:r>
        <w:rPr>
          <w:rFonts w:ascii="Times New Roman" w:hAnsi="Times New Roman"/>
        </w:rPr>
        <w:t xml:space="preserve">Pour éviter la thrombose ou la </w:t>
      </w:r>
      <w:r>
        <w:rPr>
          <w:rFonts w:ascii="Times New Roman" w:hAnsi="Times New Roman"/>
        </w:rPr>
        <w:t>gêne</w:t>
      </w:r>
      <w:r>
        <w:rPr>
          <w:rFonts w:ascii="Times New Roman" w:hAnsi="Times New Roman"/>
        </w:rPr>
        <w:t xml:space="preserve"> fonctionnelle : taux </w:t>
      </w:r>
      <w:r>
        <w:rPr>
          <w:rFonts w:ascii="Times New Roman" w:hAnsi="Times New Roman"/>
        </w:rPr>
        <w:t>Hb</w:t>
      </w:r>
      <w:r>
        <w:rPr>
          <w:rFonts w:ascii="Times New Roman" w:hAnsi="Times New Roman"/>
        </w:rPr>
        <w:t xml:space="preserve"> supérieur à 190g/l</w:t>
      </w:r>
    </w:p>
    <w:p>
      <w:pPr>
        <w:numPr>
          <w:ilvl w:val="2"/>
          <w:numId w:val="119"/>
        </w:numPr>
      </w:pPr>
      <w:r>
        <w:rPr>
          <w:rFonts w:ascii="Times New Roman" w:hAnsi="Times New Roman"/>
        </w:rPr>
        <w:t>Suffisamment abondantes : 300-500 ml/ saignée</w:t>
      </w:r>
    </w:p>
    <w:p>
      <w:pPr>
        <w:numPr>
          <w:ilvl w:val="2"/>
          <w:numId w:val="119"/>
        </w:numPr>
      </w:pPr>
      <w:r>
        <w:rPr>
          <w:rFonts w:ascii="Times New Roman" w:hAnsi="Times New Roman"/>
        </w:rPr>
        <w:t>Suffisamment rapprochées : 2-3 /semaine</w:t>
      </w:r>
    </w:p>
    <w:p>
      <w:pPr>
        <w:numPr>
          <w:ilvl w:val="2"/>
          <w:numId w:val="119"/>
        </w:numPr>
      </w:pPr>
      <w:r>
        <w:rPr>
          <w:rFonts w:ascii="Times New Roman" w:hAnsi="Times New Roman"/>
        </w:rPr>
        <w:t>Suffisamment prolongées</w:t>
      </w:r>
    </w:p>
    <w:p>
      <w:pPr>
        <w:numPr>
          <w:ilvl w:val="2"/>
          <w:numId w:val="119"/>
        </w:numPr>
      </w:pPr>
      <w:r>
        <w:rPr>
          <w:rFonts w:ascii="Times New Roman" w:hAnsi="Times New Roman"/>
        </w:rPr>
        <w:t>Inconvénients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>Favorise l'érythropoïèse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 xml:space="preserve">Prudence chez le sujet âgé : incapable de s'adapter au changement brutal de la volémie, </w:t>
      </w:r>
      <w:r>
        <w:rPr>
          <w:rFonts w:ascii="Times New Roman" w:hAnsi="Times New Roman"/>
          <w:i/>
        </w:rPr>
        <w:t>cardiopathe</w:t>
      </w:r>
      <w:r>
        <w:rPr>
          <w:rFonts w:ascii="Times New Roman" w:hAnsi="Times New Roman"/>
          <w:i/>
        </w:rPr>
        <w:t>, HTA</w:t>
      </w:r>
    </w:p>
    <w:p>
      <w:pPr>
        <w:pStyle w:val="Heading4"/>
      </w:pPr>
      <w:r>
        <w:rPr/>
        <w:t>Traitement de fond : Chimiothérapie et Radio phosphore 32P</w:t>
      </w:r>
    </w:p>
    <w:p>
      <w:pPr>
        <w:pStyle w:val="Heading5"/>
      </w:pPr>
      <w:r>
        <w:rPr/>
        <w:t>Myélosuppresseur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>Pipobroman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Vercyt</w:t>
      </w:r>
      <w:r>
        <w:rPr>
          <w:rFonts w:ascii="Times New Roman" w:hAnsi="Times New Roman"/>
        </w:rPr>
        <w:t>*) (</w:t>
      </w:r>
      <w:r>
        <w:rPr>
          <w:rFonts w:ascii="Times New Roman" w:hAnsi="Times New Roman"/>
        </w:rPr>
        <w:t>cp</w:t>
      </w:r>
      <w:r>
        <w:rPr>
          <w:rFonts w:ascii="Times New Roman" w:hAnsi="Times New Roman"/>
        </w:rPr>
        <w:t xml:space="preserve"> 25mg) 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 xml:space="preserve">1-2 </w:t>
      </w:r>
      <w:r>
        <w:rPr>
          <w:rFonts w:ascii="Times New Roman" w:hAnsi="Times New Roman"/>
        </w:rPr>
        <w:t>cp</w:t>
      </w:r>
      <w:r>
        <w:rPr>
          <w:rFonts w:ascii="Times New Roman" w:hAnsi="Times New Roman"/>
        </w:rPr>
        <w:t xml:space="preserve">/j (4cp/semaine) 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 xml:space="preserve">En continu, </w:t>
      </w:r>
      <w:r>
        <w:rPr>
          <w:rFonts w:ascii="Times New Roman" w:hAnsi="Times New Roman"/>
          <w:i/>
        </w:rPr>
        <w:t xml:space="preserve">essaye de tamponner la production de cellules souches </w:t>
      </w:r>
      <w:r>
        <w:rPr>
          <w:rFonts w:ascii="Times New Roman" w:hAnsi="Times New Roman"/>
          <w:i/>
        </w:rPr>
        <w:t>erythroblastiques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>Hydroxyurée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Hydréa</w:t>
      </w:r>
      <w:r>
        <w:rPr>
          <w:rFonts w:ascii="Times New Roman" w:hAnsi="Times New Roman"/>
        </w:rPr>
        <w:t>*) gel 500mg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gel</w:t>
      </w:r>
      <w:r>
        <w:rPr>
          <w:rFonts w:ascii="Times New Roman" w:hAnsi="Times New Roman"/>
        </w:rPr>
        <w:t xml:space="preserve"> x2/j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>Au long cours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>En fonction de l'hémogramme : 15-30 mg/kg/j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>Effet secondaire : Macrocytose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>Associer à :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>Hypo-</w:t>
      </w:r>
      <w:r>
        <w:rPr>
          <w:rFonts w:ascii="Times New Roman" w:hAnsi="Times New Roman"/>
        </w:rPr>
        <w:t>uricémiant</w:t>
      </w:r>
      <w:r>
        <w:rPr>
          <w:rFonts w:ascii="Times New Roman" w:hAnsi="Times New Roman"/>
        </w:rPr>
        <w:t xml:space="preserve"> </w:t>
      </w:r>
    </w:p>
    <w:p>
      <w:pPr>
        <w:numPr>
          <w:ilvl w:val="5"/>
          <w:numId w:val="119"/>
        </w:numPr>
      </w:pPr>
      <w:r>
        <w:rPr>
          <w:rFonts w:ascii="Times New Roman" w:hAnsi="Times New Roman"/>
        </w:rPr>
        <w:t xml:space="preserve">Allopurinol Zyloric* 1-2 </w:t>
      </w:r>
      <w:r>
        <w:rPr>
          <w:rFonts w:ascii="Times New Roman" w:hAnsi="Times New Roman"/>
        </w:rPr>
        <w:t>cp</w:t>
      </w:r>
      <w:r>
        <w:rPr>
          <w:rFonts w:ascii="Times New Roman" w:hAnsi="Times New Roman"/>
        </w:rPr>
        <w:t>/j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 xml:space="preserve">Boisson abondante, alcaline </w:t>
      </w:r>
      <w:r>
        <w:rPr>
          <w:rFonts w:ascii="Times New Roman" w:hAnsi="Times New Roman"/>
          <w:i/>
        </w:rPr>
        <w:t xml:space="preserve">pour éviter l'acidose </w:t>
      </w:r>
    </w:p>
    <w:p>
      <w:pPr>
        <w:numPr>
          <w:ilvl w:val="4"/>
          <w:numId w:val="119"/>
        </w:numPr>
      </w:pPr>
      <w:r>
        <w:rPr>
          <w:rFonts w:ascii="Times New Roman" w:hAnsi="Times New Roman"/>
        </w:rPr>
        <w:t xml:space="preserve">Aspirine à dose </w:t>
      </w:r>
      <w:r>
        <w:rPr>
          <w:rFonts w:ascii="Times New Roman" w:hAnsi="Times New Roman"/>
        </w:rPr>
        <w:t>antiagrégante</w:t>
      </w:r>
      <w:r>
        <w:rPr>
          <w:rFonts w:ascii="Times New Roman" w:hAnsi="Times New Roman"/>
        </w:rPr>
        <w:t xml:space="preserve"> : 100 mg/j</w:t>
      </w:r>
    </w:p>
    <w:p>
      <w:pPr>
        <w:pStyle w:val="Heading5"/>
      </w:pPr>
      <w:r>
        <w:rPr/>
        <w:t>RADIO PHOSPHORE 32P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>En cours d'hospitalisation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 xml:space="preserve">Malade bien coopérant (malade non docile </w:t>
      </w:r>
      <w:r>
        <w:rPr>
          <w:rFonts w:ascii="Times New Roman" w:hAnsi="Times New Roman"/>
          <w:i/>
        </w:rPr>
        <w:t>hono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 xml:space="preserve">Dose unique : 5-6 </w:t>
      </w:r>
      <w:r>
        <w:rPr>
          <w:rFonts w:ascii="Times New Roman" w:hAnsi="Times New Roman"/>
        </w:rPr>
        <w:t>mCi</w:t>
      </w:r>
      <w:r>
        <w:rPr>
          <w:rFonts w:ascii="Times New Roman" w:hAnsi="Times New Roman"/>
        </w:rPr>
        <w:t xml:space="preserve"> en IV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>Effent</w:t>
      </w:r>
      <w:r>
        <w:rPr>
          <w:rFonts w:ascii="Times New Roman" w:hAnsi="Times New Roman"/>
        </w:rPr>
        <w:t xml:space="preserve"> en 3-5 semaines</w:t>
      </w:r>
    </w:p>
    <w:p>
      <w:pPr>
        <w:numPr>
          <w:ilvl w:val="3"/>
          <w:numId w:val="119"/>
        </w:numPr>
      </w:pPr>
      <w:r>
        <w:rPr>
          <w:rFonts w:ascii="Times New Roman" w:hAnsi="Times New Roman"/>
        </w:rPr>
        <w:t>Durée effet : 1-3 ans</w:t>
      </w:r>
    </w:p>
    <w:p>
      <w:pPr/>
    </w:p>
    <w:p>
      <w:pPr>
        <w:pStyle w:val="Heading2"/>
      </w:pPr>
      <w:r>
        <w:rPr/>
        <w:t>EVOLUTION</w:t>
      </w:r>
    </w:p>
    <w:p>
      <w:pPr>
        <w:numPr>
          <w:ilvl w:val="0"/>
          <w:numId w:val="120"/>
        </w:numPr>
      </w:pPr>
      <w:r>
        <w:rPr>
          <w:rFonts w:ascii="Times New Roman" w:hAnsi="Times New Roman"/>
        </w:rPr>
        <w:t>Amélioration clinique sous traitement</w:t>
      </w:r>
    </w:p>
    <w:p>
      <w:pPr>
        <w:numPr>
          <w:ilvl w:val="0"/>
          <w:numId w:val="120"/>
        </w:numPr>
      </w:pPr>
      <w:r>
        <w:rPr>
          <w:rFonts w:ascii="Times New Roman" w:hAnsi="Times New Roman"/>
        </w:rPr>
        <w:t>Mais rechute inévitable</w:t>
      </w:r>
    </w:p>
    <w:p>
      <w:pPr>
        <w:numPr>
          <w:ilvl w:val="0"/>
          <w:numId w:val="120"/>
        </w:numPr>
      </w:pPr>
      <w:r>
        <w:rPr>
          <w:rFonts w:ascii="Times New Roman" w:hAnsi="Times New Roman"/>
        </w:rPr>
        <w:t>Evolution terminale vers LAM, aplasie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