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MALADIES HEMORRAGIQUES DE L'HEMOSTASE PRIMAIRE</w:t>
      </w:r>
    </w:p>
    <w:p>
      <w:pPr>
        <w:pStyle w:val="Heading2"/>
      </w:pPr>
      <w:r>
        <w:rPr/>
        <w:t>THROMBOPENIES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 xml:space="preserve">Plaquettes </w:t>
      </w:r>
      <w:r>
        <w:rPr>
          <w:rFonts w:ascii="Times New Roman" w:hAnsi="Times New Roman"/>
          <w:i/>
        </w:rPr>
        <w:t>inf</w:t>
      </w:r>
      <w:r>
        <w:rPr>
          <w:rFonts w:ascii="Times New Roman" w:hAnsi="Times New Roman"/>
          <w:i/>
        </w:rPr>
        <w:t xml:space="preserve"> à </w:t>
      </w:r>
      <w:r>
        <w:rPr>
          <w:rFonts w:ascii="Times New Roman" w:hAnsi="Times New Roman"/>
        </w:rPr>
        <w:t>150G/L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 xml:space="preserve">Plaquettes </w:t>
      </w:r>
      <w:r>
        <w:rPr>
          <w:rFonts w:ascii="Times New Roman" w:hAnsi="Times New Roman"/>
          <w:i/>
        </w:rPr>
        <w:t>inf</w:t>
      </w:r>
      <w:r>
        <w:rPr>
          <w:rFonts w:ascii="Times New Roman" w:hAnsi="Times New Roman"/>
          <w:i/>
        </w:rPr>
        <w:t xml:space="preserve"> à 50G/</w:t>
      </w:r>
      <w:r>
        <w:rPr>
          <w:rFonts w:ascii="Times New Roman" w:hAnsi="Times New Roman"/>
          <w:i/>
        </w:rPr>
        <w:t>l:</w:t>
      </w:r>
      <w:r>
        <w:rPr>
          <w:rFonts w:ascii="Times New Roman" w:hAnsi="Times New Roman"/>
          <w:i/>
        </w:rPr>
        <w:t xml:space="preserve"> risque de manifestations </w:t>
      </w:r>
      <w:r>
        <w:rPr>
          <w:rFonts w:ascii="Times New Roman" w:hAnsi="Times New Roman"/>
          <w:i/>
        </w:rPr>
        <w:t>hemorragiques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 xml:space="preserve">Temps de Saignement très </w:t>
      </w:r>
      <w:r>
        <w:rPr>
          <w:rFonts w:ascii="Times New Roman" w:hAnsi="Times New Roman"/>
        </w:rPr>
        <w:t>allongé: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vasculaire et plaquettaire</w:t>
      </w:r>
    </w:p>
    <w:p>
      <w:pPr>
        <w:numPr>
          <w:ilvl w:val="0"/>
          <w:numId w:val="4"/>
        </w:numPr>
      </w:pPr>
      <w:r>
        <w:rPr>
          <w:rFonts w:ascii="Times New Roman" w:hAnsi="Times New Roman"/>
        </w:rPr>
        <w:t>Centrales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Défaut de production de la lignée mégacaryocytaire au niveau médullaire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Aplasie médullaire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Envahissement médullaire (hémopathie telle que leucémie, myélome)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Syndrome myélodysplasique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>Métastase médullaire</w:t>
      </w:r>
    </w:p>
    <w:p>
      <w:pPr>
        <w:numPr>
          <w:ilvl w:val="0"/>
          <w:numId w:val="4"/>
        </w:numPr>
      </w:pPr>
      <w:r>
        <w:rPr>
          <w:rFonts w:ascii="Times New Roman" w:hAnsi="Times New Roman"/>
        </w:rPr>
        <w:t>Périphériques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Destruction par phénomène immunologique ou par infection ou par des toxiques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Hypersplénisme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 xml:space="preserve">Coagulopathie de </w:t>
      </w:r>
      <w:r>
        <w:rPr>
          <w:rFonts w:ascii="Times New Roman" w:hAnsi="Times New Roman"/>
        </w:rPr>
        <w:t>consommation (</w:t>
      </w:r>
      <w:r>
        <w:rPr>
          <w:rFonts w:ascii="Times New Roman" w:hAnsi="Times New Roman"/>
        </w:rPr>
        <w:t>CIVD)</w:t>
      </w:r>
    </w:p>
    <w:p>
      <w:pPr>
        <w:pStyle w:val="Heading2"/>
      </w:pPr>
      <w:r>
        <w:rPr/>
        <w:t>THROMBOPATHIES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 xml:space="preserve">Nombre </w:t>
      </w:r>
      <w:r>
        <w:rPr>
          <w:rFonts w:ascii="Times New Roman" w:hAnsi="Times New Roman"/>
        </w:rPr>
        <w:t>plaquettes :</w:t>
      </w:r>
      <w:r>
        <w:rPr>
          <w:rFonts w:ascii="Times New Roman" w:hAnsi="Times New Roman"/>
        </w:rPr>
        <w:t xml:space="preserve"> normal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>TS allongé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>TCA (</w:t>
      </w:r>
      <w:r>
        <w:rPr>
          <w:rFonts w:ascii="Times New Roman" w:hAnsi="Times New Roman"/>
        </w:rPr>
        <w:t>sauf Maladie de Willebrand) et TQ normaux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 xml:space="preserve">Taux hémoglobine </w:t>
      </w:r>
      <w:r>
        <w:rPr>
          <w:rFonts w:ascii="Times New Roman" w:hAnsi="Times New Roman"/>
          <w:i/>
        </w:rPr>
        <w:t xml:space="preserve">sup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</w:rPr>
        <w:t xml:space="preserve"> 80g/dl ou 8g/l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Fonction des plaquettes anormales (en particulier agrégation anormale plaquettaire</w:t>
      </w:r>
    </w:p>
    <w:p>
      <w:pPr>
        <w:numPr>
          <w:ilvl w:val="0"/>
          <w:numId w:val="10"/>
        </w:numPr>
      </w:pPr>
      <w:r>
        <w:rPr>
          <w:rFonts w:ascii="Times New Roman" w:hAnsi="Times New Roman"/>
          <w:b/>
        </w:rPr>
        <w:t>Thrombopathies constitutionnelles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Hémorragies cutanées et muqueuses variables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 xml:space="preserve">Maladie de Bernard </w:t>
      </w:r>
      <w:r>
        <w:rPr>
          <w:rFonts w:ascii="Times New Roman" w:hAnsi="Times New Roman"/>
        </w:rPr>
        <w:t>Soulier (</w:t>
      </w:r>
      <w:r>
        <w:rPr>
          <w:rFonts w:ascii="Times New Roman" w:hAnsi="Times New Roman"/>
        </w:rPr>
        <w:t xml:space="preserve">anomalie GP </w:t>
      </w:r>
      <w:r>
        <w:rPr>
          <w:rFonts w:ascii="Times New Roman" w:hAnsi="Times New Roman"/>
        </w:rPr>
        <w:t>IIbIIIa</w:t>
      </w:r>
      <w:r>
        <w:rPr>
          <w:rFonts w:ascii="Times New Roman" w:hAnsi="Times New Roman"/>
        </w:rPr>
        <w:t xml:space="preserve">) 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 xml:space="preserve">Thrombasthénie de </w:t>
      </w:r>
      <w:r>
        <w:rPr>
          <w:rFonts w:ascii="Times New Roman" w:hAnsi="Times New Roman"/>
        </w:rPr>
        <w:t>Glanzmann</w:t>
      </w:r>
      <w:r>
        <w:rPr>
          <w:rFonts w:ascii="Times New Roman" w:hAnsi="Times New Roman"/>
        </w:rPr>
        <w:t xml:space="preserve"> (anomalie GP </w:t>
      </w:r>
      <w:r>
        <w:rPr>
          <w:rFonts w:ascii="Times New Roman" w:hAnsi="Times New Roman"/>
        </w:rPr>
        <w:t>Ib</w:t>
      </w:r>
      <w:r>
        <w:rPr>
          <w:rFonts w:ascii="Times New Roman" w:hAnsi="Times New Roman"/>
        </w:rPr>
        <w:t xml:space="preserve"> IX) 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Anomalie de sécrétion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Maladie du pool vide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Plaquettes grises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 xml:space="preserve">Anomalies de synthèses des Prostaglandines </w:t>
      </w:r>
      <w:r>
        <w:rPr>
          <w:rFonts w:ascii="Times New Roman" w:hAnsi="Times New Roman"/>
          <w:i/>
        </w:rPr>
        <w:t>prise d'AINS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Maladie de Willebrand</w:t>
      </w:r>
    </w:p>
    <w:p>
      <w:pPr>
        <w:numPr>
          <w:ilvl w:val="0"/>
          <w:numId w:val="10"/>
        </w:numPr>
      </w:pPr>
      <w:r>
        <w:rPr>
          <w:rFonts w:ascii="Times New Roman" w:hAnsi="Times New Roman"/>
          <w:b/>
        </w:rPr>
        <w:t>Thrombopathies</w:t>
      </w:r>
      <w:r>
        <w:rPr>
          <w:rFonts w:ascii="Times New Roman" w:hAnsi="Times New Roman"/>
          <w:b/>
        </w:rPr>
        <w:t xml:space="preserve"> acquises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Médicaments et toxiques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Antiagrégants</w:t>
      </w:r>
      <w:r>
        <w:rPr>
          <w:rFonts w:ascii="Times New Roman" w:hAnsi="Times New Roman"/>
        </w:rPr>
        <w:t xml:space="preserve"> plaquettaires</w:t>
      </w:r>
    </w:p>
    <w:p>
      <w:pPr>
        <w:numPr>
          <w:ilvl w:val="3"/>
          <w:numId w:val="10"/>
        </w:numPr>
      </w:pPr>
      <w:r>
        <w:rPr>
          <w:rFonts w:ascii="Times New Roman" w:hAnsi="Times New Roman"/>
        </w:rPr>
        <w:t>Aspirine (</w:t>
      </w:r>
      <w:r>
        <w:rPr>
          <w:rFonts w:ascii="Times New Roman" w:hAnsi="Times New Roman"/>
        </w:rPr>
        <w:t>19m30</w:t>
      </w:r>
    </w:p>
    <w:p>
      <w:pPr>
        <w:numPr>
          <w:ilvl w:val="3"/>
          <w:numId w:val="10"/>
        </w:numPr>
      </w:pPr>
      <w:r>
        <w:rPr>
          <w:rFonts w:ascii="Times New Roman" w:hAnsi="Times New Roman"/>
        </w:rPr>
        <w:t>Clopidogrel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AINS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Pénicilline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Certaines maladies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Anémie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Cirrhose hépatique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Insuffisance rénale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Hémopathies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Intoxication Alcoolique aiguë (</w:t>
      </w:r>
      <w:r>
        <w:rPr>
          <w:rFonts w:ascii="Times New Roman" w:hAnsi="Times New Roman"/>
          <w:i/>
        </w:rPr>
        <w:t>vao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voadona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kely</w:t>
      </w:r>
      <w:r>
        <w:rPr>
          <w:rFonts w:ascii="Times New Roman" w:hAnsi="Times New Roman"/>
          <w:i/>
        </w:rPr>
        <w:t xml:space="preserve"> dia </w:t>
      </w:r>
      <w:r>
        <w:rPr>
          <w:rFonts w:ascii="Times New Roman" w:hAnsi="Times New Roman"/>
          <w:i/>
        </w:rPr>
        <w:t>mangana</w:t>
      </w:r>
      <w:r>
        <w:rPr>
          <w:rFonts w:ascii="Times New Roman" w:hAnsi="Times New Roman"/>
          <w:i/>
        </w:rPr>
        <w:t xml:space="preserve">) 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 xml:space="preserve">Contact avec une surface </w:t>
      </w:r>
      <w:r>
        <w:rPr>
          <w:rFonts w:ascii="Times New Roman" w:hAnsi="Times New Roman"/>
        </w:rPr>
        <w:t>artificielle :</w:t>
      </w:r>
      <w:r>
        <w:rPr>
          <w:rFonts w:ascii="Times New Roman" w:hAnsi="Times New Roman"/>
        </w:rPr>
        <w:t xml:space="preserve"> ex Hémodialyse, circulation extra-corporelle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>Les manifestations hémorragiques sont d'intensité variable</w:t>
      </w:r>
    </w:p>
    <w:p>
      <w:pPr>
        <w:spacing w:line="259" w:lineRule="auto"/>
      </w:pPr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