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MALADIES HEMORRAGIQUES DE L'HEMOSTASE</w:t>
      </w:r>
    </w:p>
    <w:p>
      <w:pPr>
        <w:pStyle w:val="Heading2"/>
      </w:pPr>
      <w:r>
        <w:rPr/>
        <w:t>INTRODUCTION</w:t>
      </w:r>
    </w:p>
    <w:p>
      <w:pPr/>
      <w:r>
        <w:rPr/>
        <w:t>Trouble de l’hémostase : une rupture de l’équilibre fera pencher la balance vers un état thrombotique ou hémorragique</w:t>
      </w:r>
    </w:p>
    <w:p>
      <w:pPr>
        <w:pStyle w:val="Heading3"/>
      </w:pPr>
      <w:r>
        <w:rPr/>
        <w:t>Les étapes de l’hémostase : 3 temps</w:t>
      </w:r>
    </w:p>
    <w:p>
      <w:pPr>
        <w:numPr>
          <w:ilvl w:val="0"/>
          <w:numId w:val="1"/>
        </w:numPr>
      </w:pPr>
      <w:r>
        <w:rPr>
          <w:b/>
        </w:rPr>
        <w:t xml:space="preserve">Hémostase primaire : </w:t>
      </w:r>
      <w:r>
        <w:rPr/>
        <w:t xml:space="preserve"> Interaction plaquettes-vaisseaux -&gt; clou plaquettaire, thrombus blanc</w:t>
      </w:r>
    </w:p>
    <w:p>
      <w:pPr>
        <w:numPr>
          <w:ilvl w:val="0"/>
          <w:numId w:val="1"/>
        </w:numPr>
      </w:pPr>
      <w:r>
        <w:rPr>
          <w:b/>
        </w:rPr>
        <w:t xml:space="preserve">Hémostase secondaire : </w:t>
      </w:r>
      <w:r>
        <w:rPr/>
        <w:t xml:space="preserve">Transformation du fibrinogène en fibrine -&gt; caillot </w:t>
      </w:r>
      <w:r>
        <w:rPr/>
        <w:t>de</w:t>
      </w:r>
      <w:r>
        <w:rPr/>
        <w:t xml:space="preserve"> fibrine / thrombus rouge</w:t>
      </w:r>
    </w:p>
    <w:p>
      <w:pPr>
        <w:numPr>
          <w:ilvl w:val="0"/>
          <w:numId w:val="1"/>
        </w:numPr>
      </w:pPr>
      <w:r>
        <w:rPr>
          <w:b/>
        </w:rPr>
        <w:t xml:space="preserve">Fibrinolyse : </w:t>
      </w:r>
      <w:r>
        <w:rPr/>
        <w:t>Transformation du plasminogène en plasmine -&gt; disparition du caillot et cicatrisation des vaisseaux</w:t>
      </w:r>
    </w:p>
    <w:p>
      <w:pPr/>
    </w:p>
    <w:p>
      <w:pPr>
        <w:pStyle w:val="Heading3"/>
      </w:pPr>
      <w:r>
        <w:rPr/>
        <w:t>Physiologie de l’hémostase</w:t>
      </w:r>
    </w:p>
    <w:p>
      <w:pPr/>
      <w:r>
        <w:drawing>
          <wp:inline xmlns:a="http://schemas.openxmlformats.org/drawingml/2006/main" xmlns:pic="http://schemas.openxmlformats.org/drawingml/2006/picture">
            <wp:extent cx="34734500" cy="18503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0" cy="1850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29718000" cy="16852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0" cy="1685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/>
        <w:t>Les différents types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 xml:space="preserve">Syndromes hémorragiques dus à une anomalie au niveau de 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>L’hémostase</w:t>
      </w:r>
      <w:r>
        <w:rPr>
          <w:rFonts w:ascii="Times New Roman" w:hAnsi="Times New Roman"/>
        </w:rPr>
        <w:t xml:space="preserve"> primaire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>Anomalies vasculaires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>Anomalies plaquettaires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>L’hémostase secondaire :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 xml:space="preserve">Déficit constitutionnel en facteur : </w:t>
      </w:r>
      <w:r>
        <w:rPr>
          <w:rFonts w:ascii="Times New Roman" w:hAnsi="Times New Roman"/>
        </w:rPr>
        <w:t>hémophylie</w:t>
      </w:r>
      <w:r>
        <w:rPr>
          <w:rFonts w:ascii="Times New Roman" w:hAnsi="Times New Roman"/>
        </w:rPr>
        <w:t>, afibrinogénémie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>Déficit acquis en facteur : maladie hépatique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>La fibrinolyse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>Fibrinolyse secondaire</w:t>
      </w:r>
    </w:p>
    <w:p>
      <w:pPr>
        <w:numPr>
          <w:ilvl w:val="2"/>
          <w:numId w:val="2"/>
        </w:numPr>
      </w:pPr>
      <w:r>
        <w:rPr>
          <w:rFonts w:ascii="Times New Roman" w:hAnsi="Times New Roman"/>
        </w:rPr>
        <w:t>Fibrinolyse primaire</w:t>
      </w:r>
    </w:p>
    <w:p>
      <w:pPr/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