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MYELOME MULTIPLE OU MALADIE DE KHALER</w:t>
      </w:r>
    </w:p>
    <w:p>
      <w:pPr>
        <w:pStyle w:val="Heading2"/>
      </w:pPr>
      <w:r>
        <w:rPr/>
        <w:t>DEFINITION</w:t>
      </w:r>
      <w:r>
        <w:rPr/>
        <w:t xml:space="preserve"> 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Prolifération maligne monoclonale de plasmocytes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 xml:space="preserve">Synthèse IgG anormale-&gt; </w:t>
      </w:r>
      <w:r>
        <w:rPr>
          <w:rFonts w:ascii="Times New Roman" w:hAnsi="Times New Roman"/>
          <w:i/>
        </w:rPr>
        <w:t xml:space="preserve">activation pathologique des ostéoclastes-&gt; </w:t>
      </w:r>
      <w:r>
        <w:rPr>
          <w:rFonts w:ascii="Times New Roman" w:hAnsi="Times New Roman"/>
        </w:rPr>
        <w:t>destruction des os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Autres organes : reins, cœur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 xml:space="preserve">Adulte+++(65 ans en moyenne) </w:t>
      </w:r>
    </w:p>
    <w:p>
      <w:pPr>
        <w:numPr>
          <w:ilvl w:val="0"/>
          <w:numId w:val="52"/>
        </w:numPr>
      </w:pPr>
      <w:r>
        <w:rPr>
          <w:rFonts w:ascii="Times New Roman" w:hAnsi="Times New Roman"/>
        </w:rPr>
        <w:t>Relativement rare</w:t>
      </w:r>
    </w:p>
    <w:p>
      <w:pPr>
        <w:pStyle w:val="Heading2"/>
      </w:pPr>
      <w:r>
        <w:rPr/>
        <w:t>Circonstances du diagnostic</w:t>
      </w:r>
    </w:p>
    <w:p>
      <w:pPr>
        <w:numPr>
          <w:ilvl w:val="0"/>
          <w:numId w:val="53"/>
        </w:numPr>
      </w:pPr>
      <w:r>
        <w:rPr>
          <w:rFonts w:ascii="Times New Roman" w:hAnsi="Times New Roman"/>
        </w:rPr>
        <w:t>Découverte par :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 xml:space="preserve">Douleurs osseuses, fractures pathologiques </w:t>
      </w:r>
      <w:r>
        <w:rPr>
          <w:rFonts w:ascii="Times New Roman" w:hAnsi="Times New Roman"/>
          <w:i/>
        </w:rPr>
        <w:t>par fragilisation osseuse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>Infection pulmonaire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 xml:space="preserve">Signes d'insuffisance médullaire (anémie, thrombopénie hémorragie, </w:t>
      </w:r>
      <w:r>
        <w:rPr>
          <w:rFonts w:ascii="Times New Roman" w:hAnsi="Times New Roman"/>
        </w:rPr>
        <w:t>leuconeutropenie</w:t>
      </w:r>
      <w:r>
        <w:rPr>
          <w:rFonts w:ascii="Times New Roman" w:hAnsi="Times New Roman"/>
        </w:rPr>
        <w:t xml:space="preserve"> Infection) </w:t>
      </w:r>
    </w:p>
    <w:p>
      <w:pPr>
        <w:numPr>
          <w:ilvl w:val="1"/>
          <w:numId w:val="53"/>
        </w:numPr>
      </w:pPr>
      <w:r>
        <w:rPr>
          <w:rFonts w:ascii="Times New Roman" w:hAnsi="Times New Roman"/>
        </w:rPr>
        <w:t xml:space="preserve">Anomalies biologiques : insuffisance rénale, hypercalcémie </w:t>
      </w:r>
      <w:r>
        <w:rPr>
          <w:rFonts w:ascii="Times New Roman" w:hAnsi="Times New Roman"/>
          <w:i/>
        </w:rPr>
        <w:t>destruction des os</w:t>
      </w:r>
      <w:r>
        <w:rPr>
          <w:rFonts w:ascii="Times New Roman" w:hAnsi="Times New Roman"/>
        </w:rPr>
        <w:t>, protéinémie</w:t>
      </w:r>
    </w:p>
    <w:p>
      <w:pPr>
        <w:pStyle w:val="Heading2"/>
      </w:pPr>
      <w:r>
        <w:rPr/>
        <w:t>CLINIQUE</w:t>
      </w:r>
    </w:p>
    <w:p>
      <w:pPr>
        <w:numPr>
          <w:ilvl w:val="0"/>
          <w:numId w:val="54"/>
        </w:numPr>
      </w:pPr>
      <w:r>
        <w:rPr>
          <w:rFonts w:ascii="Times New Roman" w:hAnsi="Times New Roman"/>
          <w:b/>
        </w:rPr>
        <w:t>Début progressif</w:t>
      </w:r>
      <w:r>
        <w:rPr>
          <w:rFonts w:ascii="Times New Roman" w:hAnsi="Times New Roman"/>
        </w:rPr>
        <w:t xml:space="preserve"> : douleurs osseuses, AEG</w:t>
      </w:r>
    </w:p>
    <w:p>
      <w:pPr>
        <w:numPr>
          <w:ilvl w:val="0"/>
          <w:numId w:val="54"/>
        </w:numPr>
      </w:pPr>
      <w:r>
        <w:rPr>
          <w:rFonts w:ascii="Times New Roman" w:hAnsi="Times New Roman"/>
          <w:b/>
        </w:rPr>
        <w:t>Etat</w:t>
      </w:r>
      <w:r>
        <w:rPr>
          <w:rFonts w:ascii="Times New Roman" w:hAnsi="Times New Roman"/>
        </w:rPr>
        <w:t xml:space="preserve"> :</w:t>
      </w:r>
    </w:p>
    <w:p>
      <w:pPr>
        <w:numPr>
          <w:ilvl w:val="1"/>
          <w:numId w:val="54"/>
        </w:numPr>
      </w:pPr>
      <w:r>
        <w:rPr>
          <w:rFonts w:ascii="Times New Roman" w:hAnsi="Times New Roman"/>
          <w:b/>
        </w:rPr>
        <w:t>Signes osseux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Douleurs : os plats, douleurs fixes+++, rebelles, persistantes</w:t>
      </w:r>
    </w:p>
    <w:p>
      <w:pPr>
        <w:numPr>
          <w:ilvl w:val="2"/>
          <w:numId w:val="54"/>
        </w:numPr>
      </w:pPr>
      <w:r>
        <w:rPr>
          <w:rFonts w:ascii="Times New Roman" w:hAnsi="Times New Roman"/>
        </w:rPr>
        <w:t>Déformations : cypho-scoliose, tuméfaction (localisation au niveau des organes), fractures pathologiques</w:t>
      </w:r>
    </w:p>
    <w:p>
      <w:pPr>
        <w:numPr>
          <w:ilvl w:val="1"/>
          <w:numId w:val="54"/>
        </w:numPr>
      </w:pPr>
      <w:r>
        <w:rPr>
          <w:rFonts w:ascii="Times New Roman" w:hAnsi="Times New Roman"/>
          <w:b/>
        </w:rPr>
        <w:t>Signe rénal</w:t>
      </w:r>
      <w:r>
        <w:rPr>
          <w:rFonts w:ascii="Times New Roman" w:hAnsi="Times New Roman"/>
        </w:rPr>
        <w:t xml:space="preserve"> : protéinurie significative </w:t>
      </w:r>
      <w:r>
        <w:rPr>
          <w:rFonts w:ascii="Times New Roman" w:hAnsi="Times New Roman"/>
          <w:i/>
        </w:rPr>
        <w:t>plus œdème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AEG + fièvre, anémie, asthénie, amaigrissement, syndrome hémorragique </w:t>
      </w:r>
    </w:p>
    <w:p>
      <w:pPr/>
    </w:p>
    <w:p>
      <w:pPr>
        <w:pStyle w:val="Heading2"/>
      </w:pPr>
      <w:r>
        <w:rPr/>
        <w:t>BIOLOGIE</w:t>
      </w:r>
    </w:p>
    <w:p>
      <w:pPr/>
      <w:r>
        <w:rPr>
          <w:rFonts w:ascii="Times New Roman" w:hAnsi="Times New Roman"/>
        </w:rPr>
        <w:t>Confirme le diagnostic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Sang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</w:rPr>
        <w:t>dysprotéinemie</w:t>
      </w:r>
      <w:r>
        <w:rPr>
          <w:rFonts w:ascii="Times New Roman" w:hAnsi="Times New Roman"/>
        </w:rPr>
        <w:t xml:space="preserve"> (augmentation du taux de protéines) 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VSH Augmenté +++ dû à l'abondance des 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pathologiques qui se fixent and GR et augmentent le poids moléculaire des GR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Protéinémie augmentée++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Electrophorèse des protéines : pic monoclonal de gammaglobulines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Immunofixation : nature des 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(IgG +++, </w:t>
      </w: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 xml:space="preserve">, IgD exceptionnellement) 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Urines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Protéinurie de </w:t>
      </w:r>
      <w:r>
        <w:rPr>
          <w:rFonts w:ascii="Times New Roman" w:hAnsi="Times New Roman"/>
        </w:rPr>
        <w:t>Bence</w:t>
      </w:r>
      <w:r>
        <w:rPr>
          <w:rFonts w:ascii="Times New Roman" w:hAnsi="Times New Roman"/>
        </w:rPr>
        <w:t xml:space="preserve"> Jones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 xml:space="preserve">Précipitation des protéines à 50 degrés C et dissoute à ébullition (fuite protéique rénale) 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 xml:space="preserve">Fonction rénale souvent perturbée 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Hémogramme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Anémie normochrome normocytaire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Tendance lymphocytaire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Agglutination en rouleaux (GR reliés par les 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Neutropénie, thrombopénie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Myélogramme</w:t>
      </w:r>
      <w:r>
        <w:rPr>
          <w:rFonts w:ascii="Times New Roman" w:hAnsi="Times New Roman"/>
        </w:rPr>
        <w:t xml:space="preserve"> : infiltration de la moelle osseuse par des plasmocytes pathologiques &gt;10%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Autres bilans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Hypercalcémie&gt;2,6mmol/L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 xml:space="preserve">Insuffisance rénale : créatininémie élevée </w:t>
      </w:r>
    </w:p>
    <w:p>
      <w:pPr/>
    </w:p>
    <w:p>
      <w:pPr>
        <w:pStyle w:val="Heading2"/>
      </w:pPr>
      <w:r>
        <w:rPr/>
        <w:t>RADIOLOGIE : oriente le diagnostic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Osseuse :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Lacunes osseuses sans réaction périostée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Fractures pathologiques, tassement vertébral, décalcifications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Viscérale : digestive, pleuropulmonaire</w:t>
      </w:r>
    </w:p>
    <w:p>
      <w:pPr/>
      <w:r>
        <w:rPr>
          <w:rFonts w:ascii="Times New Roman" w:hAnsi="Times New Roman"/>
          <w:b/>
        </w:rPr>
        <w:t>Critères CRAB +++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b/>
        </w:rPr>
        <w:t xml:space="preserve">C : </w:t>
      </w:r>
      <w:r>
        <w:rPr>
          <w:rFonts w:ascii="Times New Roman" w:hAnsi="Times New Roman"/>
          <w:b/>
        </w:rPr>
        <w:t>hyperCalcemie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b/>
        </w:rPr>
        <w:t>R : insuffisance Rénale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b/>
        </w:rPr>
        <w:t>A : anémie&lt;10g/dl</w:t>
      </w:r>
    </w:p>
    <w:p>
      <w:pPr>
        <w:numPr>
          <w:ilvl w:val="0"/>
          <w:numId w:val="57"/>
        </w:numPr>
      </w:pPr>
      <w:r>
        <w:rPr>
          <w:rFonts w:ascii="Times New Roman" w:hAnsi="Times New Roman"/>
          <w:b/>
        </w:rPr>
        <w:t>B : Bone. Lésions osseuses</w:t>
      </w:r>
    </w:p>
    <w:p>
      <w:pPr/>
      <w:r>
        <w:rPr>
          <w:rFonts w:ascii="Times New Roman" w:hAnsi="Times New Roman"/>
        </w:rPr>
        <w:t>Arguments du diagnostic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Présence de deux des éléments suivants :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Plasmocytose pathologique médullaire&gt;10%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 xml:space="preserve">Hypoprotéinémie avec 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monoclonale sérique(gammaglobuline) ou urinaire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Lésions osseuses (+</w:t>
      </w:r>
      <w:r>
        <w:rPr>
          <w:rFonts w:ascii="Times New Roman" w:hAnsi="Times New Roman"/>
        </w:rPr>
        <w:t>hypercalcemie</w:t>
      </w:r>
      <w:r>
        <w:rPr>
          <w:rFonts w:ascii="Times New Roman" w:hAnsi="Times New Roman"/>
        </w:rPr>
        <w:t xml:space="preserve"> par </w:t>
      </w:r>
      <w:r>
        <w:rPr>
          <w:rFonts w:ascii="Times New Roman" w:hAnsi="Times New Roman"/>
        </w:rPr>
        <w:t>liberation</w:t>
      </w:r>
      <w:r>
        <w:rPr>
          <w:rFonts w:ascii="Times New Roman" w:hAnsi="Times New Roman"/>
        </w:rPr>
        <w:t xml:space="preserve"> de calcium) </w:t>
      </w:r>
    </w:p>
    <w:p>
      <w:pPr>
        <w:pStyle w:val="Heading2"/>
      </w:pPr>
      <w:r>
        <w:rPr/>
        <w:t>TRAITEMENT</w:t>
      </w:r>
    </w:p>
    <w:p>
      <w:pPr>
        <w:pStyle w:val="NoSpacing"/>
        <w:spacing w:line="360" w:lineRule="auto"/>
        <w:numPr>
          <w:ilvl w:val="0"/>
          <w:numId w:val="60"/>
        </w:numPr>
      </w:pPr>
      <w:r>
        <w:rPr>
          <w:rFonts w:ascii="Times New Roman" w:hAnsi="Times New Roman"/>
          <w:sz w:val="24"/>
        </w:rPr>
        <w:t>Chimiothérapie (</w:t>
      </w:r>
      <w:r>
        <w:rPr>
          <w:rFonts w:ascii="Times New Roman" w:hAnsi="Times New Roman"/>
          <w:i/>
          <w:sz w:val="24"/>
        </w:rPr>
        <w:t xml:space="preserve">principale traitement) </w:t>
      </w:r>
    </w:p>
    <w:p>
      <w:pPr>
        <w:pStyle w:val="NoSpacing"/>
        <w:spacing w:line="360" w:lineRule="auto"/>
        <w:numPr>
          <w:ilvl w:val="0"/>
          <w:numId w:val="60"/>
        </w:numPr>
      </w:pPr>
      <w:r>
        <w:rPr>
          <w:rFonts w:ascii="Times New Roman" w:hAnsi="Times New Roman"/>
          <w:sz w:val="24"/>
        </w:rPr>
        <w:t>Corticothérapie</w:t>
      </w:r>
      <w:r>
        <w:rPr>
          <w:rFonts w:ascii="Times New Roman" w:hAnsi="Times New Roman"/>
          <w:sz w:val="24"/>
        </w:rPr>
        <w:t xml:space="preserve"> (action anti-inflammatoire pour la lyse cellulaire) </w:t>
      </w:r>
    </w:p>
    <w:p>
      <w:pPr>
        <w:pStyle w:val="NoSpacing"/>
        <w:spacing w:line="360" w:lineRule="auto"/>
        <w:numPr>
          <w:ilvl w:val="0"/>
          <w:numId w:val="60"/>
        </w:numPr>
      </w:pPr>
      <w:r>
        <w:rPr>
          <w:rFonts w:ascii="Times New Roman" w:hAnsi="Times New Roman"/>
          <w:sz w:val="24"/>
        </w:rPr>
        <w:t>Radiothérapie (</w:t>
      </w:r>
      <w:r>
        <w:rPr>
          <w:rFonts w:ascii="Times New Roman" w:hAnsi="Times New Roman"/>
          <w:sz w:val="24"/>
        </w:rPr>
        <w:t xml:space="preserve">surtout quand il y a des atteintes </w:t>
      </w:r>
      <w:r>
        <w:rPr>
          <w:rFonts w:ascii="Times New Roman" w:hAnsi="Times New Roman"/>
          <w:sz w:val="24"/>
        </w:rPr>
        <w:t>osseuses 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freinement</w:t>
      </w:r>
      <w:r>
        <w:rPr>
          <w:rFonts w:ascii="Times New Roman" w:hAnsi="Times New Roman"/>
          <w:sz w:val="24"/>
        </w:rPr>
        <w:t xml:space="preserve"> par irradiation de l'atteint osseuse ou chirurgie) </w:t>
      </w:r>
    </w:p>
    <w:p>
      <w:pPr>
        <w:pStyle w:val="NoSpacing"/>
        <w:spacing w:line="360" w:lineRule="auto"/>
        <w:ind w:left="-360"/>
      </w:pPr>
    </w:p>
    <w:p>
      <w:pPr>
        <w:pStyle w:val="Heading3"/>
      </w:pPr>
      <w:r>
        <w:rPr/>
        <w:t>CHIMIOTHERAPIE :</w:t>
      </w:r>
    </w:p>
    <w:p>
      <w:pPr>
        <w:pStyle w:val="NoSpacing"/>
        <w:spacing w:line="360" w:lineRule="auto"/>
        <w:ind w:left="-360"/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Forme diffuse typique</w:t>
      </w:r>
    </w:p>
    <w:p>
      <w:pPr>
        <w:pStyle w:val="NoSpacing"/>
        <w:spacing w:line="360" w:lineRule="auto"/>
        <w:numPr>
          <w:ilvl w:val="0"/>
          <w:numId w:val="61"/>
        </w:numPr>
      </w:pPr>
      <w:r>
        <w:rPr>
          <w:rFonts w:ascii="Times New Roman" w:hAnsi="Times New Roman"/>
          <w:sz w:val="24"/>
        </w:rPr>
        <w:t xml:space="preserve">Protocole </w:t>
      </w:r>
      <w:r>
        <w:rPr>
          <w:rFonts w:ascii="Times New Roman" w:hAnsi="Times New Roman"/>
          <w:sz w:val="24"/>
        </w:rPr>
        <w:t>MPT (</w:t>
      </w:r>
      <w:r>
        <w:rPr>
          <w:rFonts w:ascii="Times New Roman" w:hAnsi="Times New Roman"/>
          <w:sz w:val="24"/>
        </w:rPr>
        <w:t xml:space="preserve">&gt;60 ans)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Merphalan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9mg/mg/j (J1-J4)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Prednisolone :</w:t>
      </w:r>
      <w:r>
        <w:rPr>
          <w:rFonts w:ascii="Times New Roman" w:hAnsi="Times New Roman"/>
          <w:sz w:val="24"/>
        </w:rPr>
        <w:t xml:space="preserve"> 60mg/m2/j (J1-J4)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Thalidomide :</w:t>
      </w:r>
      <w:r>
        <w:rPr>
          <w:rFonts w:ascii="Times New Roman" w:hAnsi="Times New Roman"/>
          <w:sz w:val="24"/>
        </w:rPr>
        <w:t xml:space="preserve"> 100mg/</w:t>
      </w:r>
      <w:r>
        <w:rPr>
          <w:rFonts w:ascii="Times New Roman" w:hAnsi="Times New Roman"/>
          <w:sz w:val="24"/>
        </w:rPr>
        <w:t>j(</w:t>
      </w:r>
      <w:r>
        <w:rPr>
          <w:rFonts w:ascii="Times New Roman" w:hAnsi="Times New Roman"/>
          <w:sz w:val="24"/>
        </w:rPr>
        <w:t>utilisé de façon continue)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J1=J42(42eme jours dia </w:t>
      </w:r>
      <w:r>
        <w:rPr>
          <w:rFonts w:ascii="Times New Roman" w:hAnsi="Times New Roman"/>
          <w:sz w:val="24"/>
        </w:rPr>
        <w:t>miverina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amin'ny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voalohany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indray</w:t>
      </w:r>
      <w:r>
        <w:rPr>
          <w:rFonts w:ascii="Times New Roman" w:hAnsi="Times New Roman"/>
          <w:sz w:val="24"/>
        </w:rPr>
        <w:t xml:space="preserve">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Durée d'une </w:t>
      </w:r>
      <w:r>
        <w:rPr>
          <w:rFonts w:ascii="Times New Roman" w:hAnsi="Times New Roman"/>
          <w:sz w:val="24"/>
        </w:rPr>
        <w:t>cure :</w:t>
      </w:r>
      <w:r>
        <w:rPr>
          <w:rFonts w:ascii="Times New Roman" w:hAnsi="Times New Roman"/>
          <w:sz w:val="24"/>
        </w:rPr>
        <w:t xml:space="preserve"> 42 jours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 12 cures au total (18 mois)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La </w:t>
      </w:r>
      <w:r>
        <w:rPr>
          <w:rFonts w:ascii="Times New Roman" w:hAnsi="Times New Roman"/>
          <w:sz w:val="24"/>
        </w:rPr>
        <w:t>merphalan</w:t>
      </w:r>
      <w:r>
        <w:rPr>
          <w:rFonts w:ascii="Times New Roman" w:hAnsi="Times New Roman"/>
          <w:sz w:val="24"/>
        </w:rPr>
        <w:t xml:space="preserve"> est à adapter en fonction de la clearance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Ajustées en fonction de la tolérance hématologique jusqu'à la normalisation des signes </w:t>
      </w:r>
      <w:r>
        <w:rPr>
          <w:rFonts w:ascii="Times New Roman" w:hAnsi="Times New Roman"/>
          <w:sz w:val="24"/>
        </w:rPr>
        <w:t>biologiques (</w:t>
      </w:r>
      <w:r>
        <w:rPr>
          <w:rFonts w:ascii="Times New Roman" w:hAnsi="Times New Roman"/>
          <w:sz w:val="24"/>
        </w:rPr>
        <w:t xml:space="preserve">sans </w:t>
      </w:r>
      <w:r>
        <w:rPr>
          <w:rFonts w:ascii="Times New Roman" w:hAnsi="Times New Roman"/>
          <w:sz w:val="24"/>
        </w:rPr>
        <w:t>cytopénie</w:t>
      </w:r>
      <w:r>
        <w:rPr>
          <w:rFonts w:ascii="Times New Roman" w:hAnsi="Times New Roman"/>
          <w:sz w:val="24"/>
        </w:rPr>
        <w:t xml:space="preserve"> profonde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Bilan de </w:t>
      </w:r>
      <w:r>
        <w:rPr>
          <w:rFonts w:ascii="Times New Roman" w:hAnsi="Times New Roman"/>
          <w:sz w:val="24"/>
        </w:rPr>
        <w:t>surveillance :</w:t>
      </w:r>
      <w:r>
        <w:rPr>
          <w:rFonts w:ascii="Times New Roman" w:hAnsi="Times New Roman"/>
          <w:sz w:val="24"/>
        </w:rPr>
        <w:t xml:space="preserve"> EPP pour voir la cinétique des </w:t>
      </w:r>
      <w:r>
        <w:rPr>
          <w:rFonts w:ascii="Times New Roman" w:hAnsi="Times New Roman"/>
          <w:sz w:val="24"/>
        </w:rPr>
        <w:t>Ig</w:t>
      </w:r>
      <w:r>
        <w:rPr>
          <w:rFonts w:ascii="Times New Roman" w:hAnsi="Times New Roman"/>
          <w:sz w:val="24"/>
        </w:rPr>
        <w:t xml:space="preserve"> (bonne amélioration = chute des </w:t>
      </w:r>
      <w:r>
        <w:rPr>
          <w:rFonts w:ascii="Times New Roman" w:hAnsi="Times New Roman"/>
          <w:sz w:val="24"/>
        </w:rPr>
        <w:t>Ig</w:t>
      </w:r>
      <w:r>
        <w:rPr>
          <w:rFonts w:ascii="Times New Roman" w:hAnsi="Times New Roman"/>
          <w:sz w:val="24"/>
        </w:rPr>
        <w:t xml:space="preserve"> produit par les plasmocytes pathologiques=diminution du nombre des plasmocytes pathologiques</w:t>
      </w:r>
    </w:p>
    <w:p>
      <w:pPr>
        <w:pStyle w:val="NoSpacing"/>
        <w:spacing w:line="360" w:lineRule="auto"/>
        <w:numPr>
          <w:ilvl w:val="0"/>
          <w:numId w:val="61"/>
        </w:numPr>
      </w:pPr>
      <w:r>
        <w:rPr>
          <w:rFonts w:ascii="Times New Roman" w:hAnsi="Times New Roman"/>
          <w:sz w:val="24"/>
        </w:rPr>
        <w:t xml:space="preserve">Protocole </w:t>
      </w:r>
      <w:r>
        <w:rPr>
          <w:rFonts w:ascii="Times New Roman" w:hAnsi="Times New Roman"/>
          <w:sz w:val="24"/>
        </w:rPr>
        <w:t>VTD (</w:t>
      </w:r>
      <w:r>
        <w:rPr>
          <w:rFonts w:ascii="Times New Roman" w:hAnsi="Times New Roman"/>
          <w:sz w:val="24"/>
        </w:rPr>
        <w:t xml:space="preserve">&lt;60 ans)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Velcade</w:t>
      </w:r>
      <w:r>
        <w:rPr>
          <w:rFonts w:ascii="Times New Roman" w:hAnsi="Times New Roman"/>
          <w:sz w:val="24"/>
        </w:rPr>
        <w:t xml:space="preserve"> :</w:t>
      </w:r>
      <w:r>
        <w:rPr>
          <w:rFonts w:ascii="Times New Roman" w:hAnsi="Times New Roman"/>
          <w:sz w:val="24"/>
        </w:rPr>
        <w:t>1,3 mg/m2 (J</w:t>
      </w:r>
      <w:r>
        <w:rPr>
          <w:rFonts w:ascii="Times New Roman" w:hAnsi="Times New Roman"/>
          <w:sz w:val="24"/>
        </w:rPr>
        <w:t>1 ; J</w:t>
      </w:r>
      <w:r>
        <w:rPr>
          <w:rFonts w:ascii="Times New Roman" w:hAnsi="Times New Roman"/>
          <w:sz w:val="24"/>
        </w:rPr>
        <w:t xml:space="preserve">8)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Thalidomide 100mg/j (Continu)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Dexamethasone</w:t>
      </w:r>
      <w:r>
        <w:rPr>
          <w:rFonts w:ascii="Times New Roman" w:hAnsi="Times New Roman"/>
          <w:sz w:val="24"/>
        </w:rPr>
        <w:t xml:space="preserve"> 40mg/j (J</w:t>
      </w:r>
      <w:r>
        <w:rPr>
          <w:rFonts w:ascii="Times New Roman" w:hAnsi="Times New Roman"/>
          <w:sz w:val="24"/>
        </w:rPr>
        <w:t>1 ;</w:t>
      </w:r>
      <w:r>
        <w:rPr>
          <w:rFonts w:ascii="Times New Roman" w:hAnsi="Times New Roman"/>
          <w:sz w:val="24"/>
        </w:rPr>
        <w:t xml:space="preserve"> j</w:t>
      </w:r>
      <w:r>
        <w:rPr>
          <w:rFonts w:ascii="Times New Roman" w:hAnsi="Times New Roman"/>
          <w:sz w:val="24"/>
        </w:rPr>
        <w:t>2 ;</w:t>
      </w:r>
      <w:r>
        <w:rPr>
          <w:rFonts w:ascii="Times New Roman" w:hAnsi="Times New Roman"/>
          <w:sz w:val="24"/>
        </w:rPr>
        <w:t xml:space="preserve"> J</w:t>
      </w:r>
      <w:r>
        <w:rPr>
          <w:rFonts w:ascii="Times New Roman" w:hAnsi="Times New Roman"/>
          <w:sz w:val="24"/>
        </w:rPr>
        <w:t>8 ;</w:t>
      </w:r>
      <w:r>
        <w:rPr>
          <w:rFonts w:ascii="Times New Roman" w:hAnsi="Times New Roman"/>
          <w:sz w:val="24"/>
        </w:rPr>
        <w:t xml:space="preserve"> J9) 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>J1=J21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Au </w:t>
      </w:r>
      <w:r>
        <w:rPr>
          <w:rFonts w:ascii="Times New Roman" w:hAnsi="Times New Roman"/>
          <w:sz w:val="24"/>
        </w:rPr>
        <w:t>total :</w:t>
      </w:r>
      <w:r>
        <w:rPr>
          <w:rFonts w:ascii="Times New Roman" w:hAnsi="Times New Roman"/>
          <w:sz w:val="24"/>
        </w:rPr>
        <w:t xml:space="preserve"> 6 cures</w:t>
      </w:r>
    </w:p>
    <w:p>
      <w:pPr>
        <w:pStyle w:val="NoSpacing"/>
        <w:spacing w:line="360" w:lineRule="auto"/>
        <w:numPr>
          <w:ilvl w:val="1"/>
          <w:numId w:val="61"/>
        </w:numPr>
      </w:pPr>
      <w:r>
        <w:rPr>
          <w:rFonts w:ascii="Times New Roman" w:hAnsi="Times New Roman"/>
          <w:sz w:val="24"/>
        </w:rPr>
        <w:t xml:space="preserve">Après 4eme </w:t>
      </w:r>
      <w:r>
        <w:rPr>
          <w:rFonts w:ascii="Times New Roman" w:hAnsi="Times New Roman"/>
          <w:sz w:val="24"/>
        </w:rPr>
        <w:t>cure :</w:t>
      </w:r>
      <w:r>
        <w:rPr>
          <w:rFonts w:ascii="Times New Roman" w:hAnsi="Times New Roman"/>
          <w:sz w:val="24"/>
        </w:rPr>
        <w:t xml:space="preserve"> Chimiothérapie intensive + autogreffe de moelle osseuse. </w:t>
      </w:r>
      <w:r>
        <w:rPr>
          <w:rFonts w:ascii="Times New Roman" w:hAnsi="Times New Roman"/>
          <w:sz w:val="24"/>
        </w:rPr>
        <w:t>Autogreffe :</w:t>
      </w:r>
      <w:r>
        <w:rPr>
          <w:rFonts w:ascii="Times New Roman" w:hAnsi="Times New Roman"/>
          <w:sz w:val="24"/>
        </w:rPr>
        <w:t xml:space="preserve"> on prélève la moelle osseuse du patient et on réinjecte après (car la </w:t>
      </w:r>
      <w:r>
        <w:rPr>
          <w:rFonts w:ascii="Times New Roman" w:hAnsi="Times New Roman"/>
          <w:sz w:val="24"/>
        </w:rPr>
        <w:t>chimiothérapie</w:t>
      </w:r>
      <w:r>
        <w:rPr>
          <w:rFonts w:ascii="Times New Roman" w:hAnsi="Times New Roman"/>
          <w:sz w:val="24"/>
        </w:rPr>
        <w:t xml:space="preserve"> intensive va </w:t>
      </w:r>
      <w:r>
        <w:rPr>
          <w:rFonts w:ascii="Times New Roman" w:hAnsi="Times New Roman"/>
          <w:sz w:val="24"/>
        </w:rPr>
        <w:t>détruire</w:t>
      </w:r>
      <w:r>
        <w:rPr>
          <w:rFonts w:ascii="Times New Roman" w:hAnsi="Times New Roman"/>
          <w:sz w:val="24"/>
        </w:rPr>
        <w:t xml:space="preserve"> à la fois les cellules pathologiques mais aussi les cellules sanguines normales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; cela permet de </w:t>
      </w:r>
      <w:r>
        <w:rPr>
          <w:rFonts w:ascii="Times New Roman" w:hAnsi="Times New Roman"/>
          <w:sz w:val="24"/>
        </w:rPr>
        <w:t>réduire</w:t>
      </w:r>
      <w:r>
        <w:rPr>
          <w:rFonts w:ascii="Times New Roman" w:hAnsi="Times New Roman"/>
          <w:sz w:val="24"/>
        </w:rPr>
        <w:t xml:space="preserve"> la </w:t>
      </w:r>
      <w:r>
        <w:rPr>
          <w:rFonts w:ascii="Times New Roman" w:hAnsi="Times New Roman"/>
          <w:sz w:val="24"/>
        </w:rPr>
        <w:t>cytopénie</w:t>
      </w:r>
      <w:r>
        <w:rPr>
          <w:rFonts w:ascii="Times New Roman" w:hAnsi="Times New Roman"/>
          <w:sz w:val="24"/>
        </w:rPr>
        <w:t xml:space="preserve"> post </w:t>
      </w:r>
      <w:r>
        <w:rPr>
          <w:rFonts w:ascii="Times New Roman" w:hAnsi="Times New Roman"/>
          <w:sz w:val="24"/>
        </w:rPr>
        <w:t>chimiothérapie</w:t>
      </w:r>
      <w:r>
        <w:rPr>
          <w:rFonts w:ascii="Times New Roman" w:hAnsi="Times New Roman"/>
          <w:sz w:val="24"/>
        </w:rPr>
        <w:t xml:space="preserve"> à 12-14j au lieu de 60j)</w:t>
      </w:r>
    </w:p>
    <w:p>
      <w:pPr>
        <w:pStyle w:val="NoSpacing"/>
        <w:spacing w:line="360" w:lineRule="auto"/>
      </w:pPr>
    </w:p>
    <w:p>
      <w:pPr>
        <w:pStyle w:val="Heading3"/>
      </w:pPr>
      <w:r>
        <w:rPr/>
        <w:t>CAS PARTICULIER</w:t>
      </w:r>
    </w:p>
    <w:p>
      <w:pPr>
        <w:pStyle w:val="NoSpacing"/>
        <w:spacing w:line="360" w:lineRule="auto"/>
      </w:pPr>
      <w:r>
        <w:rPr>
          <w:rFonts w:ascii="Times New Roman" w:hAnsi="Times New Roman"/>
          <w:sz w:val="24"/>
          <w:u w:val="single"/>
        </w:rPr>
        <w:t>Forme localisée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: Plasmocytome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 xml:space="preserve">(ce sont des </w:t>
      </w:r>
      <w:r>
        <w:rPr>
          <w:rFonts w:ascii="Times New Roman" w:hAnsi="Times New Roman"/>
          <w:sz w:val="24"/>
        </w:rPr>
        <w:t>proliférations</w:t>
      </w:r>
      <w:r>
        <w:rPr>
          <w:rFonts w:ascii="Times New Roman" w:hAnsi="Times New Roman"/>
          <w:sz w:val="24"/>
        </w:rPr>
        <w:t xml:space="preserve"> localisées de plasmocytes au niveau d'un organe ou d'un endroit bien précis ; découvert à la clinique ou à l'imagerie.) </w:t>
      </w:r>
    </w:p>
    <w:p>
      <w:pPr>
        <w:pStyle w:val="NoSpacing"/>
        <w:spacing w:line="360" w:lineRule="auto"/>
        <w:numPr>
          <w:ilvl w:val="0"/>
          <w:numId w:val="62"/>
        </w:numPr>
      </w:pPr>
      <w:r>
        <w:rPr>
          <w:rFonts w:ascii="Times New Roman" w:hAnsi="Times New Roman"/>
          <w:sz w:val="24"/>
        </w:rPr>
        <w:t>Clinique :</w:t>
      </w:r>
      <w:r>
        <w:rPr>
          <w:rFonts w:ascii="Times New Roman" w:hAnsi="Times New Roman"/>
          <w:sz w:val="24"/>
        </w:rPr>
        <w:t xml:space="preserve"> Masse palpable sous cutanée parfois localisée au niveau thoracique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grille costale</w:t>
      </w:r>
      <w:r>
        <w:rPr>
          <w:rFonts w:ascii="Times New Roman" w:hAnsi="Times New Roman"/>
          <w:sz w:val="24"/>
        </w:rPr>
        <w:t xml:space="preserve">+++) </w:t>
      </w:r>
    </w:p>
    <w:p>
      <w:pPr>
        <w:pStyle w:val="NoSpacing"/>
        <w:spacing w:line="360" w:lineRule="auto"/>
        <w:numPr>
          <w:ilvl w:val="0"/>
          <w:numId w:val="62"/>
        </w:numPr>
      </w:pPr>
      <w:r>
        <w:rPr>
          <w:rFonts w:ascii="Times New Roman" w:hAnsi="Times New Roman"/>
          <w:sz w:val="24"/>
        </w:rPr>
        <w:t>Diagnostic :</w:t>
      </w:r>
      <w:r>
        <w:rPr>
          <w:rFonts w:ascii="Times New Roman" w:hAnsi="Times New Roman"/>
          <w:sz w:val="24"/>
        </w:rPr>
        <w:t xml:space="preserve"> Biopsie de la masse avec examen anatomo-pathologique. Résultat : </w:t>
      </w:r>
      <w:r>
        <w:rPr>
          <w:rFonts w:ascii="Times New Roman" w:hAnsi="Times New Roman"/>
          <w:sz w:val="24"/>
        </w:rPr>
        <w:t>Prolifération</w:t>
      </w:r>
      <w:r>
        <w:rPr>
          <w:rFonts w:ascii="Times New Roman" w:hAnsi="Times New Roman"/>
          <w:sz w:val="24"/>
        </w:rPr>
        <w:t xml:space="preserve"> de plasmocytes) </w:t>
      </w:r>
    </w:p>
    <w:p>
      <w:pPr>
        <w:pStyle w:val="NoSpacing"/>
        <w:spacing w:line="360" w:lineRule="auto"/>
      </w:pPr>
      <w:r>
        <w:rPr>
          <w:rFonts w:ascii="Times New Roman" w:hAnsi="Times New Roman"/>
          <w:i/>
          <w:sz w:val="24"/>
        </w:rPr>
        <w:t xml:space="preserve">Devant un </w:t>
      </w:r>
      <w:r>
        <w:rPr>
          <w:rFonts w:ascii="Times New Roman" w:hAnsi="Times New Roman"/>
          <w:i/>
          <w:sz w:val="24"/>
        </w:rPr>
        <w:t>plasmocytome :</w:t>
      </w:r>
      <w:r>
        <w:rPr>
          <w:rFonts w:ascii="Times New Roman" w:hAnsi="Times New Roman"/>
          <w:i/>
          <w:sz w:val="24"/>
        </w:rPr>
        <w:t xml:space="preserve"> il faut </w:t>
      </w:r>
      <w:r>
        <w:rPr>
          <w:rFonts w:ascii="Times New Roman" w:hAnsi="Times New Roman"/>
          <w:i/>
          <w:sz w:val="24"/>
        </w:rPr>
        <w:t>éliminer</w:t>
      </w:r>
      <w:r>
        <w:rPr>
          <w:rFonts w:ascii="Times New Roman" w:hAnsi="Times New Roman"/>
          <w:i/>
          <w:sz w:val="24"/>
        </w:rPr>
        <w:t xml:space="preserve"> un </w:t>
      </w:r>
      <w:r>
        <w:rPr>
          <w:rFonts w:ascii="Times New Roman" w:hAnsi="Times New Roman"/>
          <w:i/>
          <w:sz w:val="24"/>
        </w:rPr>
        <w:t>myélome 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Medullo</w:t>
      </w:r>
      <w:r>
        <w:rPr>
          <w:rFonts w:ascii="Times New Roman" w:hAnsi="Times New Roman"/>
          <w:i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Epp</w:t>
      </w:r>
      <w:r>
        <w:rPr>
          <w:rFonts w:ascii="Times New Roman" w:hAnsi="Times New Roman"/>
          <w:i/>
          <w:sz w:val="24"/>
        </w:rPr>
        <w:t>, scanner atteintes osseuses, Calcémie. Si reviennent normaux=</w:t>
      </w:r>
      <w:r>
        <w:rPr>
          <w:rFonts w:ascii="Times New Roman" w:hAnsi="Times New Roman"/>
          <w:i/>
          <w:sz w:val="24"/>
        </w:rPr>
        <w:t>plasmocytome ;</w:t>
      </w:r>
      <w:r>
        <w:rPr>
          <w:rFonts w:ascii="Times New Roman" w:hAnsi="Times New Roman"/>
          <w:i/>
          <w:sz w:val="24"/>
        </w:rPr>
        <w:t xml:space="preserve"> si une </w:t>
      </w:r>
      <w:r>
        <w:rPr>
          <w:rFonts w:ascii="Times New Roman" w:hAnsi="Times New Roman"/>
          <w:i/>
          <w:sz w:val="24"/>
        </w:rPr>
        <w:t>anomalie :</w:t>
      </w:r>
      <w:r>
        <w:rPr>
          <w:rFonts w:ascii="Times New Roman" w:hAnsi="Times New Roman"/>
          <w:i/>
          <w:sz w:val="24"/>
        </w:rPr>
        <w:t xml:space="preserve"> myélome </w:t>
      </w:r>
    </w:p>
    <w:p>
      <w:pPr>
        <w:pStyle w:val="NoSpacing"/>
        <w:spacing w:line="360" w:lineRule="auto"/>
      </w:pPr>
      <w:r>
        <w:rPr>
          <w:rFonts w:ascii="Times New Roman" w:hAnsi="Times New Roman"/>
          <w:b/>
          <w:sz w:val="24"/>
        </w:rPr>
        <w:t>Traitement si Plasmocytome confirmé : RADIOTHÉRAPIE OU CHIRURGIE</w:t>
      </w:r>
    </w:p>
    <w:p>
      <w:pPr>
        <w:ind w:left="720"/>
      </w:pPr>
    </w:p>
    <w:p>
      <w:pPr>
        <w:ind w:left="720"/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