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Maladie de Willebrand</w:t>
      </w:r>
    </w:p>
    <w:p>
      <w:pPr>
        <w:numPr>
          <w:ilvl w:val="0"/>
          <w:numId w:val="12"/>
        </w:numPr>
      </w:pPr>
      <w:r>
        <w:rPr>
          <w:rFonts w:ascii="Times New Roman" w:hAnsi="Times New Roman"/>
        </w:rPr>
        <w:t>La plus fréquente des maladies constitutionnelles de l'hémostase</w:t>
      </w:r>
    </w:p>
    <w:p>
      <w:pPr>
        <w:numPr>
          <w:ilvl w:val="0"/>
          <w:numId w:val="13"/>
        </w:numPr>
      </w:pPr>
      <w:r>
        <w:rPr>
          <w:rFonts w:ascii="Times New Roman" w:hAnsi="Times New Roman"/>
        </w:rPr>
        <w:t>Transmission autosomique récessive</w:t>
      </w:r>
    </w:p>
    <w:p>
      <w:pPr>
        <w:numPr>
          <w:ilvl w:val="0"/>
          <w:numId w:val="14"/>
        </w:numPr>
      </w:pPr>
      <w:r>
        <w:rPr>
          <w:rFonts w:ascii="Times New Roman" w:hAnsi="Times New Roman"/>
        </w:rPr>
        <w:t xml:space="preserve">Chez </w:t>
      </w:r>
      <w:r>
        <w:rPr>
          <w:rFonts w:ascii="Times New Roman" w:hAnsi="Times New Roman"/>
        </w:rPr>
        <w:t>nous :</w:t>
      </w:r>
      <w:r>
        <w:rPr>
          <w:rFonts w:ascii="Times New Roman" w:hAnsi="Times New Roman"/>
        </w:rPr>
        <w:t xml:space="preserve"> mal explorée</w:t>
      </w:r>
    </w:p>
    <w:p>
      <w:pPr>
        <w:numPr>
          <w:ilvl w:val="0"/>
          <w:numId w:val="15"/>
        </w:numPr>
      </w:pPr>
      <w:r>
        <w:rPr>
          <w:rFonts w:ascii="Times New Roman" w:hAnsi="Times New Roman"/>
        </w:rPr>
        <w:t>Anomalie quantitative ou qualitative du facteur de von Willebrand (</w:t>
      </w:r>
      <w:r>
        <w:rPr>
          <w:rFonts w:ascii="Times New Roman" w:hAnsi="Times New Roman"/>
        </w:rPr>
        <w:t>vWFà</w:t>
      </w:r>
    </w:p>
    <w:p>
      <w:pPr>
        <w:numPr>
          <w:ilvl w:val="0"/>
          <w:numId w:val="16"/>
        </w:numPr>
      </w:pPr>
      <w:r>
        <w:rPr>
          <w:rFonts w:ascii="Times New Roman" w:hAnsi="Times New Roman"/>
        </w:rPr>
        <w:t xml:space="preserve">Synthétisé sous forme de monomères, sécrété sous forme de </w:t>
      </w:r>
      <w:r>
        <w:rPr>
          <w:rFonts w:ascii="Times New Roman" w:hAnsi="Times New Roman"/>
        </w:rPr>
        <w:t>Multimères</w:t>
      </w:r>
      <w:r>
        <w:rPr>
          <w:rFonts w:ascii="Times New Roman" w:hAnsi="Times New Roman"/>
        </w:rPr>
        <w:t xml:space="preserve"> de </w:t>
      </w:r>
      <w:r>
        <w:rPr>
          <w:rFonts w:ascii="Times New Roman" w:hAnsi="Times New Roman"/>
        </w:rPr>
        <w:t>vWF</w:t>
      </w:r>
      <w:r>
        <w:rPr>
          <w:rFonts w:ascii="Times New Roman" w:hAnsi="Times New Roman"/>
        </w:rPr>
        <w:t xml:space="preserve"> : interaction entre plaquettes au sous endothélium en se fixant sur GP </w:t>
      </w:r>
      <w:r>
        <w:rPr>
          <w:rFonts w:ascii="Times New Roman" w:hAnsi="Times New Roman"/>
        </w:rPr>
        <w:t>Ib</w:t>
      </w:r>
      <w:r>
        <w:rPr>
          <w:rFonts w:ascii="Times New Roman" w:hAnsi="Times New Roman"/>
        </w:rPr>
        <w:t xml:space="preserve"> et collagène </w:t>
      </w:r>
    </w:p>
    <w:p>
      <w:pPr/>
      <w:r>
        <w:rPr>
          <w:rFonts w:ascii="Times New Roman" w:hAnsi="Times New Roman"/>
          <w:i/>
        </w:rPr>
        <w:t>25minutes</w:t>
      </w:r>
    </w:p>
    <w:p>
      <w:pPr>
        <w:pStyle w:val="Heading2"/>
      </w:pPr>
      <w:r>
        <w:rPr/>
        <w:t>Clinique</w:t>
      </w:r>
    </w:p>
    <w:p>
      <w:pPr>
        <w:numPr>
          <w:ilvl w:val="0"/>
          <w:numId w:val="17"/>
        </w:numPr>
      </w:pPr>
      <w:r>
        <w:rPr>
          <w:rFonts w:ascii="Times New Roman" w:hAnsi="Times New Roman"/>
        </w:rPr>
        <w:t>Hémorragies muqueuses et Cutanées</w:t>
      </w:r>
    </w:p>
    <w:p>
      <w:pPr>
        <w:numPr>
          <w:ilvl w:val="0"/>
          <w:numId w:val="18"/>
        </w:numPr>
      </w:pPr>
      <w:r>
        <w:rPr>
          <w:rFonts w:ascii="Times New Roman" w:hAnsi="Times New Roman"/>
        </w:rPr>
        <w:t>Spontanées ou provoquées par traumatisme minime ou chirurgie ou extraction dentaire</w:t>
      </w:r>
    </w:p>
    <w:p>
      <w:pPr>
        <w:numPr>
          <w:ilvl w:val="0"/>
          <w:numId w:val="19"/>
        </w:numPr>
      </w:pPr>
      <w:r>
        <w:rPr>
          <w:rFonts w:ascii="Times New Roman" w:hAnsi="Times New Roman"/>
        </w:rPr>
        <w:t xml:space="preserve">Dans les formes </w:t>
      </w:r>
      <w:r>
        <w:rPr>
          <w:rFonts w:ascii="Times New Roman" w:hAnsi="Times New Roman"/>
        </w:rPr>
        <w:t>sévères :</w:t>
      </w:r>
      <w:r>
        <w:rPr>
          <w:rFonts w:ascii="Times New Roman" w:hAnsi="Times New Roman"/>
        </w:rPr>
        <w:t xml:space="preserve"> hématomes, hémarthroses, hémorragies intra-abdominales</w:t>
      </w:r>
    </w:p>
    <w:p>
      <w:pPr>
        <w:pStyle w:val="Heading2"/>
      </w:pPr>
      <w:r>
        <w:rPr/>
        <w:t>Biologie</w:t>
      </w:r>
    </w:p>
    <w:p>
      <w:pPr>
        <w:numPr>
          <w:ilvl w:val="0"/>
          <w:numId w:val="20"/>
        </w:numPr>
      </w:pPr>
      <w:r>
        <w:rPr>
          <w:rFonts w:ascii="Times New Roman" w:hAnsi="Times New Roman"/>
        </w:rPr>
        <w:t xml:space="preserve">TS ou Temps d'occlusion </w:t>
      </w:r>
      <w:r>
        <w:rPr>
          <w:rFonts w:ascii="Times New Roman" w:hAnsi="Times New Roman"/>
          <w:color w:val="FF0000"/>
        </w:rPr>
        <w:t>allongé</w:t>
      </w:r>
    </w:p>
    <w:p>
      <w:pPr>
        <w:numPr>
          <w:ilvl w:val="0"/>
          <w:numId w:val="21"/>
        </w:numPr>
      </w:pPr>
      <w:r>
        <w:rPr>
          <w:rFonts w:ascii="Times New Roman" w:hAnsi="Times New Roman"/>
        </w:rPr>
        <w:t xml:space="preserve">Nombre de plaquettes </w:t>
      </w:r>
      <w:r>
        <w:rPr>
          <w:rFonts w:ascii="Times New Roman" w:hAnsi="Times New Roman"/>
          <w:color w:val="FF0000"/>
        </w:rPr>
        <w:t>normal</w:t>
      </w:r>
    </w:p>
    <w:p>
      <w:pPr>
        <w:numPr>
          <w:ilvl w:val="0"/>
          <w:numId w:val="22"/>
        </w:numPr>
      </w:pPr>
      <w:r>
        <w:rPr>
          <w:rFonts w:ascii="Times New Roman" w:hAnsi="Times New Roman"/>
        </w:rPr>
        <w:t xml:space="preserve">TCA </w:t>
      </w:r>
      <w:r>
        <w:rPr>
          <w:rFonts w:ascii="Times New Roman" w:hAnsi="Times New Roman"/>
          <w:color w:val="FF0000"/>
        </w:rPr>
        <w:t>allongé</w:t>
      </w:r>
    </w:p>
    <w:p>
      <w:pPr>
        <w:numPr>
          <w:ilvl w:val="0"/>
          <w:numId w:val="23"/>
        </w:numPr>
      </w:pPr>
      <w:r>
        <w:rPr>
          <w:rFonts w:ascii="Times New Roman" w:hAnsi="Times New Roman"/>
        </w:rPr>
        <w:t xml:space="preserve">TQ </w:t>
      </w:r>
      <w:r>
        <w:rPr>
          <w:rFonts w:ascii="Times New Roman" w:hAnsi="Times New Roman"/>
          <w:color w:val="FF0000"/>
        </w:rPr>
        <w:t>normal</w:t>
      </w:r>
    </w:p>
    <w:p>
      <w:pPr>
        <w:numPr>
          <w:ilvl w:val="0"/>
          <w:numId w:val="24"/>
        </w:numPr>
      </w:pPr>
      <w:r>
        <w:rPr>
          <w:rFonts w:ascii="Times New Roman" w:hAnsi="Times New Roman"/>
        </w:rPr>
        <w:t xml:space="preserve">Taux FVIII </w:t>
      </w:r>
      <w:r>
        <w:rPr>
          <w:rFonts w:ascii="Times New Roman" w:hAnsi="Times New Roman"/>
          <w:color w:val="FF0000"/>
        </w:rPr>
        <w:t>diminué</w:t>
      </w:r>
    </w:p>
    <w:p>
      <w:pPr>
        <w:numPr>
          <w:ilvl w:val="0"/>
          <w:numId w:val="25"/>
        </w:numPr>
      </w:pPr>
      <w:r>
        <w:rPr>
          <w:rFonts w:ascii="Times New Roman" w:hAnsi="Times New Roman"/>
        </w:rPr>
        <w:t xml:space="preserve">Taux </w:t>
      </w:r>
      <w:r>
        <w:rPr>
          <w:rFonts w:ascii="Times New Roman" w:hAnsi="Times New Roman"/>
        </w:rPr>
        <w:t>vWF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color w:val="FF0000"/>
        </w:rPr>
        <w:t xml:space="preserve">diminué </w:t>
      </w:r>
      <w:r>
        <w:rPr>
          <w:rFonts w:ascii="Times New Roman" w:hAnsi="Times New Roman"/>
          <w:color w:val="000000"/>
        </w:rPr>
        <w:t xml:space="preserve">(activité du cofacteur de la </w:t>
      </w:r>
      <w:r>
        <w:rPr>
          <w:rFonts w:ascii="Times New Roman" w:hAnsi="Times New Roman"/>
          <w:color w:val="000000"/>
        </w:rPr>
        <w:t>ristocétine</w:t>
      </w:r>
      <w:r>
        <w:rPr>
          <w:rFonts w:ascii="Times New Roman" w:hAnsi="Times New Roman"/>
          <w:color w:val="000000"/>
        </w:rPr>
        <w:t xml:space="preserve">) </w:t>
      </w:r>
    </w:p>
    <w:p>
      <w:pPr/>
      <w:r>
        <w:rPr>
          <w:rFonts w:ascii="Times New Roman" w:hAnsi="Times New Roman"/>
        </w:rPr>
        <w:t>Devant ces contextes, il faut</w:t>
      </w:r>
    </w:p>
    <w:p>
      <w:pPr>
        <w:numPr>
          <w:ilvl w:val="0"/>
          <w:numId w:val="26"/>
        </w:numPr>
      </w:pPr>
      <w:r>
        <w:rPr>
          <w:rFonts w:ascii="Times New Roman" w:hAnsi="Times New Roman"/>
        </w:rPr>
        <w:t xml:space="preserve">Étude des </w:t>
      </w:r>
      <w:r>
        <w:rPr>
          <w:rFonts w:ascii="Times New Roman" w:hAnsi="Times New Roman"/>
        </w:rPr>
        <w:t>Multimères</w:t>
      </w:r>
      <w:r>
        <w:rPr>
          <w:rFonts w:ascii="Times New Roman" w:hAnsi="Times New Roman"/>
        </w:rPr>
        <w:t xml:space="preserve"> du </w:t>
      </w:r>
      <w:r>
        <w:rPr>
          <w:rFonts w:ascii="Times New Roman" w:hAnsi="Times New Roman"/>
        </w:rPr>
        <w:t>vWF</w:t>
      </w:r>
    </w:p>
    <w:p>
      <w:pPr>
        <w:numPr>
          <w:ilvl w:val="0"/>
          <w:numId w:val="27"/>
        </w:numPr>
      </w:pPr>
      <w:r>
        <w:rPr>
          <w:rFonts w:ascii="Times New Roman" w:hAnsi="Times New Roman"/>
        </w:rPr>
        <w:t xml:space="preserve">Taux </w:t>
      </w:r>
      <w:r>
        <w:rPr>
          <w:rFonts w:ascii="Times New Roman" w:hAnsi="Times New Roman"/>
        </w:rPr>
        <w:t>vWF</w:t>
      </w:r>
      <w:r>
        <w:rPr>
          <w:rFonts w:ascii="Times New Roman" w:hAnsi="Times New Roman"/>
        </w:rPr>
        <w:t xml:space="preserve"> tend à augmenter au cours de la grossesse</w:t>
      </w:r>
    </w:p>
    <w:p>
      <w:pPr>
        <w:pStyle w:val="Heading2"/>
      </w:pPr>
      <w:r>
        <w:rPr/>
        <w:t>Différents types</w:t>
      </w:r>
    </w:p>
    <w:p>
      <w:pPr/>
      <w:r>
        <w:rPr>
          <w:rFonts w:ascii="Times New Roman" w:hAnsi="Times New Roman"/>
          <w:b/>
        </w:rPr>
        <w:t>Quantitatifs</w:t>
      </w:r>
    </w:p>
    <w:p>
      <w:pPr>
        <w:numPr>
          <w:ilvl w:val="0"/>
          <w:numId w:val="28"/>
        </w:numPr>
      </w:pPr>
      <w:r>
        <w:rPr>
          <w:rFonts w:ascii="Times New Roman" w:hAnsi="Times New Roman"/>
        </w:rPr>
        <w:t xml:space="preserve">Type 1 </w:t>
      </w:r>
      <w:r>
        <w:rPr>
          <w:rFonts w:ascii="Times New Roman" w:hAnsi="Times New Roman"/>
          <w:i/>
        </w:rPr>
        <w:t>s'il y a une baisse modérée</w:t>
      </w:r>
    </w:p>
    <w:p>
      <w:pPr>
        <w:numPr>
          <w:ilvl w:val="0"/>
          <w:numId w:val="29"/>
        </w:numPr>
      </w:pPr>
      <w:r>
        <w:rPr>
          <w:rFonts w:ascii="Times New Roman" w:hAnsi="Times New Roman"/>
        </w:rPr>
        <w:t xml:space="preserve">Type 3(grave) </w:t>
      </w:r>
      <w:r>
        <w:rPr>
          <w:rFonts w:ascii="Times New Roman" w:hAnsi="Times New Roman"/>
          <w:i/>
        </w:rPr>
        <w:t>vWF</w:t>
      </w:r>
      <w:r>
        <w:rPr>
          <w:rFonts w:ascii="Times New Roman" w:hAnsi="Times New Roman"/>
          <w:i/>
        </w:rPr>
        <w:t xml:space="preserve"> absent, taux très bas</w:t>
      </w:r>
    </w:p>
    <w:p>
      <w:pPr/>
      <w:r>
        <w:rPr>
          <w:rFonts w:ascii="Times New Roman" w:hAnsi="Times New Roman"/>
          <w:b/>
        </w:rPr>
        <w:t>Qualitatif</w:t>
      </w:r>
    </w:p>
    <w:p>
      <w:pPr>
        <w:numPr>
          <w:ilvl w:val="0"/>
          <w:numId w:val="30"/>
        </w:numPr>
      </w:pPr>
      <w:r>
        <w:rPr>
          <w:rFonts w:ascii="Times New Roman" w:hAnsi="Times New Roman"/>
        </w:rPr>
        <w:t>Type 2</w:t>
      </w:r>
    </w:p>
    <w:p>
      <w:pPr>
        <w:numPr>
          <w:ilvl w:val="0"/>
          <w:numId w:val="31"/>
        </w:numPr>
      </w:pPr>
      <w:r>
        <w:rPr>
          <w:rFonts w:ascii="Times New Roman" w:hAnsi="Times New Roman"/>
        </w:rPr>
        <w:t xml:space="preserve">Anomalie d'interaction avec les plaquettes (2A, 2M, 2B) </w:t>
      </w:r>
      <w:r>
        <w:rPr>
          <w:rFonts w:ascii="Times New Roman" w:hAnsi="Times New Roman"/>
          <w:i/>
        </w:rPr>
        <w:t xml:space="preserve">le </w:t>
      </w:r>
      <w:r>
        <w:rPr>
          <w:rFonts w:ascii="Times New Roman" w:hAnsi="Times New Roman"/>
          <w:i/>
        </w:rPr>
        <w:t>vWF</w:t>
      </w:r>
      <w:r>
        <w:rPr>
          <w:rFonts w:ascii="Times New Roman" w:hAnsi="Times New Roman"/>
          <w:i/>
        </w:rPr>
        <w:t xml:space="preserve"> ne reconnaît pas le glycoprotéine </w:t>
      </w:r>
      <w:r>
        <w:rPr>
          <w:rFonts w:ascii="Times New Roman" w:hAnsi="Times New Roman"/>
          <w:i/>
        </w:rPr>
        <w:t>IbIX</w:t>
      </w:r>
      <w:r>
        <w:rPr>
          <w:rFonts w:ascii="Times New Roman" w:hAnsi="Times New Roman"/>
          <w:i/>
        </w:rPr>
        <w:t xml:space="preserve"> des plaquettes</w:t>
      </w:r>
    </w:p>
    <w:p>
      <w:pPr>
        <w:numPr>
          <w:ilvl w:val="0"/>
          <w:numId w:val="32"/>
        </w:numPr>
      </w:pPr>
      <w:r>
        <w:rPr>
          <w:rFonts w:ascii="Times New Roman" w:hAnsi="Times New Roman"/>
        </w:rPr>
        <w:t>Anomalie d'interaction avec FVIII (type 2N)</w:t>
      </w:r>
    </w:p>
    <w:p>
      <w:pPr>
        <w:ind w:left="360"/>
      </w:pPr>
    </w:p>
    <w:p>
      <w:pPr>
        <w:ind w:left="360"/>
      </w:pPr>
    </w:p>
    <w:p>
      <w:pPr>
        <w:pStyle w:val="Heading2"/>
      </w:pPr>
      <w:r>
        <w:rPr/>
        <w:t>Principe du traitement</w:t>
      </w:r>
    </w:p>
    <w:p>
      <w:pPr>
        <w:numPr>
          <w:ilvl w:val="0"/>
          <w:numId w:val="33"/>
        </w:numPr>
      </w:pPr>
      <w:r>
        <w:rPr>
          <w:rFonts w:ascii="Times New Roman" w:hAnsi="Times New Roman"/>
        </w:rPr>
        <w:t>Proscrire</w:t>
      </w:r>
    </w:p>
    <w:p>
      <w:pPr>
        <w:numPr>
          <w:ilvl w:val="1"/>
          <w:numId w:val="33"/>
        </w:numPr>
      </w:pPr>
      <w:r>
        <w:rPr>
          <w:rFonts w:ascii="Times New Roman" w:hAnsi="Times New Roman"/>
        </w:rPr>
        <w:t>Les injections IM</w:t>
      </w:r>
    </w:p>
    <w:p>
      <w:pPr>
        <w:numPr>
          <w:ilvl w:val="1"/>
          <w:numId w:val="33"/>
        </w:numPr>
      </w:pPr>
      <w:r>
        <w:rPr>
          <w:rFonts w:ascii="Times New Roman" w:hAnsi="Times New Roman"/>
        </w:rPr>
        <w:t xml:space="preserve">Aspirine et antiagrégants plaquettaire </w:t>
      </w:r>
      <w:r>
        <w:rPr>
          <w:rFonts w:ascii="Times New Roman" w:hAnsi="Times New Roman"/>
          <w:i/>
        </w:rPr>
        <w:t>qui interfèrent avec la coagulation</w:t>
      </w:r>
    </w:p>
    <w:p>
      <w:pPr>
        <w:numPr>
          <w:ilvl w:val="0"/>
          <w:numId w:val="33"/>
        </w:numPr>
      </w:pPr>
      <w:r>
        <w:rPr>
          <w:rFonts w:ascii="Times New Roman" w:hAnsi="Times New Roman"/>
        </w:rPr>
        <w:t>Traitement de base</w:t>
      </w:r>
    </w:p>
    <w:p>
      <w:pPr>
        <w:numPr>
          <w:ilvl w:val="1"/>
          <w:numId w:val="33"/>
        </w:numPr>
      </w:pPr>
      <w:r>
        <w:rPr>
          <w:rFonts w:ascii="Times New Roman" w:hAnsi="Times New Roman"/>
        </w:rPr>
        <w:t>Desmopressine DDAVP (</w:t>
      </w:r>
      <w:r>
        <w:rPr>
          <w:rFonts w:ascii="Times New Roman" w:hAnsi="Times New Roman"/>
        </w:rPr>
        <w:t>Minerin</w:t>
      </w:r>
      <w:r>
        <w:rPr>
          <w:rFonts w:ascii="Times New Roman" w:hAnsi="Times New Roman"/>
        </w:rPr>
        <w:t>*) Analogue de la vasopressine</w:t>
      </w:r>
    </w:p>
    <w:p>
      <w:pPr>
        <w:numPr>
          <w:ilvl w:val="1"/>
          <w:numId w:val="33"/>
        </w:numPr>
      </w:pPr>
      <w:r>
        <w:rPr>
          <w:rFonts w:ascii="Times New Roman" w:hAnsi="Times New Roman"/>
        </w:rPr>
        <w:t xml:space="preserve">Augment de 2 à 4 fois le taux de base du </w:t>
      </w:r>
      <w:r>
        <w:rPr>
          <w:rFonts w:ascii="Times New Roman" w:hAnsi="Times New Roman"/>
        </w:rPr>
        <w:t>vWF</w:t>
      </w:r>
      <w:r>
        <w:rPr>
          <w:rFonts w:ascii="Times New Roman" w:hAnsi="Times New Roman"/>
        </w:rPr>
        <w:t xml:space="preserve"> en 30 minutes</w:t>
      </w:r>
    </w:p>
    <w:p>
      <w:pPr>
        <w:numPr>
          <w:ilvl w:val="1"/>
          <w:numId w:val="33"/>
        </w:numPr>
      </w:pPr>
      <w:r>
        <w:rPr>
          <w:rFonts w:ascii="Times New Roman" w:hAnsi="Times New Roman"/>
        </w:rPr>
        <w:t>Surtout dans le type 1</w:t>
      </w:r>
    </w:p>
    <w:p>
      <w:pPr>
        <w:numPr>
          <w:ilvl w:val="2"/>
          <w:numId w:val="33"/>
        </w:numPr>
      </w:pPr>
      <w:r>
        <w:rPr>
          <w:rFonts w:ascii="Times New Roman" w:hAnsi="Times New Roman"/>
        </w:rPr>
        <w:t xml:space="preserve">Inefficace dans type 3 où il n'y a pas de synthèse de </w:t>
      </w:r>
      <w:r>
        <w:rPr>
          <w:rFonts w:ascii="Times New Roman" w:hAnsi="Times New Roman"/>
        </w:rPr>
        <w:t>vWF</w:t>
      </w:r>
    </w:p>
    <w:p>
      <w:pPr>
        <w:numPr>
          <w:ilvl w:val="2"/>
          <w:numId w:val="33"/>
        </w:numPr>
      </w:pPr>
      <w:r>
        <w:rPr>
          <w:rFonts w:ascii="Times New Roman" w:hAnsi="Times New Roman"/>
        </w:rPr>
        <w:t>Peu efficace dans type 2</w:t>
      </w:r>
    </w:p>
    <w:p>
      <w:pPr>
        <w:numPr>
          <w:ilvl w:val="1"/>
          <w:numId w:val="33"/>
        </w:numPr>
      </w:pPr>
      <w:r>
        <w:rPr>
          <w:rFonts w:ascii="Times New Roman" w:hAnsi="Times New Roman"/>
        </w:rPr>
        <w:t xml:space="preserve">Transfusion de concentrés de </w:t>
      </w:r>
      <w:r>
        <w:rPr>
          <w:rFonts w:ascii="Times New Roman" w:hAnsi="Times New Roman"/>
        </w:rPr>
        <w:t>vWF</w:t>
      </w:r>
      <w:r>
        <w:rPr>
          <w:rFonts w:ascii="Times New Roman" w:hAnsi="Times New Roman"/>
        </w:rPr>
        <w:t xml:space="preserve"> purifié</w:t>
      </w:r>
    </w:p>
    <w:p>
      <w:pPr>
        <w:numPr>
          <w:ilvl w:val="2"/>
          <w:numId w:val="33"/>
        </w:numPr>
      </w:pPr>
      <w:r>
        <w:rPr>
          <w:rFonts w:ascii="Times New Roman" w:hAnsi="Times New Roman"/>
        </w:rPr>
        <w:t xml:space="preserve">Avant intervention chirurgicale, le taux de </w:t>
      </w:r>
      <w:r>
        <w:rPr>
          <w:rFonts w:ascii="Times New Roman" w:hAnsi="Times New Roman"/>
        </w:rPr>
        <w:t>vWF</w:t>
      </w:r>
      <w:r>
        <w:rPr>
          <w:rFonts w:ascii="Times New Roman" w:hAnsi="Times New Roman"/>
        </w:rPr>
        <w:t xml:space="preserve"> doit être 80-100% puis maintenu supérieur à 50%</w:t>
      </w:r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