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 xml:space="preserve">PURPURA </w:t>
      </w:r>
      <w:r>
        <w:rPr/>
        <w:t>RHUMATOIDE (</w:t>
      </w:r>
      <w:r>
        <w:rPr/>
        <w:t>Syndrome de Schonlein henoch)</w:t>
      </w:r>
      <w:r>
        <w:rPr/>
        <w:t xml:space="preserve"> </w:t>
      </w:r>
    </w:p>
    <w:p>
      <w:pPr>
        <w:numPr>
          <w:ilvl w:val="0"/>
          <w:numId w:val="47"/>
        </w:numPr>
      </w:pPr>
      <w:r>
        <w:rPr>
          <w:rFonts w:ascii="Times New Roman" w:hAnsi="Times New Roman"/>
        </w:rPr>
        <w:t>Forme typique de purpura vasculaire</w:t>
      </w:r>
    </w:p>
    <w:p>
      <w:pPr>
        <w:numPr>
          <w:ilvl w:val="0"/>
          <w:numId w:val="48"/>
        </w:numPr>
      </w:pPr>
      <w:r>
        <w:rPr>
          <w:rFonts w:ascii="Times New Roman" w:hAnsi="Times New Roman"/>
          <w:b/>
        </w:rPr>
        <w:t>Anomalie de la perméabilité vasculaire</w:t>
      </w:r>
    </w:p>
    <w:p>
      <w:pPr>
        <w:numPr>
          <w:ilvl w:val="0"/>
          <w:numId w:val="49"/>
        </w:numPr>
      </w:pPr>
      <w:r>
        <w:rPr>
          <w:rFonts w:ascii="Times New Roman" w:hAnsi="Times New Roman"/>
          <w:b/>
        </w:rPr>
        <w:t>Étiologie imprécise</w:t>
      </w:r>
    </w:p>
    <w:p>
      <w:pPr>
        <w:numPr>
          <w:ilvl w:val="0"/>
          <w:numId w:val="50"/>
        </w:numPr>
      </w:pPr>
      <w:r>
        <w:rPr>
          <w:rFonts w:ascii="Times New Roman" w:hAnsi="Times New Roman"/>
          <w:b/>
        </w:rPr>
        <w:t xml:space="preserve">Jeune enfant, ados, tous les </w:t>
      </w:r>
      <w:r>
        <w:rPr>
          <w:rFonts w:ascii="Times New Roman" w:hAnsi="Times New Roman"/>
          <w:b/>
        </w:rPr>
        <w:t>ages</w:t>
      </w:r>
    </w:p>
    <w:p>
      <w:pPr>
        <w:numPr>
          <w:ilvl w:val="0"/>
          <w:numId w:val="51"/>
        </w:numPr>
      </w:pPr>
      <w:r>
        <w:rPr>
          <w:rFonts w:ascii="Times New Roman" w:hAnsi="Times New Roman"/>
          <w:b/>
        </w:rPr>
        <w:t>Pas de prédominance de genre</w:t>
      </w:r>
    </w:p>
    <w:p>
      <w:pPr>
        <w:numPr>
          <w:ilvl w:val="0"/>
          <w:numId w:val="52"/>
        </w:numPr>
      </w:pPr>
      <w:r>
        <w:rPr>
          <w:rFonts w:ascii="Times New Roman" w:hAnsi="Times New Roman"/>
          <w:b/>
        </w:rPr>
        <w:t>Pas de notion familiale</w:t>
      </w:r>
    </w:p>
    <w:p>
      <w:pPr>
        <w:numPr>
          <w:ilvl w:val="0"/>
          <w:numId w:val="53"/>
        </w:numPr>
      </w:pPr>
      <w:r>
        <w:rPr>
          <w:rFonts w:ascii="Times New Roman" w:hAnsi="Times New Roman"/>
          <w:b/>
        </w:rPr>
        <w:t>Pas de notion de contagiosité</w:t>
      </w:r>
    </w:p>
    <w:p>
      <w:pPr>
        <w:numPr>
          <w:ilvl w:val="0"/>
          <w:numId w:val="54"/>
        </w:numPr>
      </w:pPr>
      <w:r>
        <w:rPr>
          <w:rFonts w:ascii="Times New Roman" w:hAnsi="Times New Roman"/>
          <w:b/>
        </w:rPr>
        <w:t>Prédominance saisonnière</w:t>
      </w:r>
    </w:p>
    <w:p>
      <w:pPr/>
    </w:p>
    <w:p>
      <w:pPr>
        <w:pStyle w:val="Heading2"/>
      </w:pPr>
      <w:r>
        <w:rPr/>
        <w:t>CLINIQUE</w:t>
      </w:r>
    </w:p>
    <w:p>
      <w:pPr>
        <w:numPr>
          <w:ilvl w:val="0"/>
          <w:numId w:val="55"/>
        </w:numPr>
      </w:pPr>
      <w:r>
        <w:rPr>
          <w:b/>
        </w:rPr>
        <w:t xml:space="preserve"> </w:t>
      </w:r>
      <w:r>
        <w:rPr>
          <w:rFonts w:ascii="Times New Roman" w:hAnsi="Times New Roman"/>
          <w:b/>
        </w:rPr>
        <w:t>DÉBUT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Brusque ou progressif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>État infectieux initial, pseudo-rhumatismal</w:t>
      </w:r>
    </w:p>
    <w:p>
      <w:pPr>
        <w:numPr>
          <w:ilvl w:val="2"/>
          <w:numId w:val="55"/>
        </w:numPr>
      </w:pPr>
      <w:r>
        <w:rPr>
          <w:rFonts w:ascii="Times New Roman" w:hAnsi="Times New Roman"/>
        </w:rPr>
        <w:t>Purpura isolé</w:t>
      </w:r>
    </w:p>
    <w:p>
      <w:pPr>
        <w:numPr>
          <w:ilvl w:val="0"/>
          <w:numId w:val="55"/>
        </w:numPr>
      </w:pPr>
      <w:r>
        <w:rPr>
          <w:rFonts w:ascii="Times New Roman" w:hAnsi="Times New Roman"/>
          <w:b/>
        </w:rPr>
        <w:t>PÉRIODE D'ETAT</w:t>
      </w:r>
    </w:p>
    <w:p>
      <w:pPr>
        <w:numPr>
          <w:ilvl w:val="1"/>
          <w:numId w:val="55"/>
        </w:numPr>
      </w:pPr>
      <w:r>
        <w:rPr>
          <w:rFonts w:ascii="Times New Roman" w:hAnsi="Times New Roman"/>
        </w:rPr>
        <w:t>Triade symptomatique</w:t>
      </w:r>
    </w:p>
    <w:p>
      <w:pPr>
        <w:numPr>
          <w:ilvl w:val="2"/>
          <w:numId w:val="55"/>
        </w:numPr>
      </w:pPr>
      <w:r>
        <w:rPr>
          <w:rFonts w:ascii="Times New Roman" w:hAnsi="Times New Roman"/>
          <w:b/>
        </w:rPr>
        <w:t>Éruption purpurique</w:t>
      </w:r>
    </w:p>
    <w:p>
      <w:pPr>
        <w:numPr>
          <w:ilvl w:val="2"/>
          <w:numId w:val="55"/>
        </w:numPr>
      </w:pPr>
      <w:r>
        <w:rPr>
          <w:rFonts w:ascii="Times New Roman" w:hAnsi="Times New Roman"/>
          <w:b/>
        </w:rPr>
        <w:t>Syndrome infectieux</w:t>
      </w:r>
    </w:p>
    <w:p>
      <w:pPr>
        <w:numPr>
          <w:ilvl w:val="2"/>
          <w:numId w:val="55"/>
        </w:numPr>
      </w:pPr>
      <w:r>
        <w:rPr>
          <w:rFonts w:ascii="Times New Roman" w:hAnsi="Times New Roman"/>
          <w:b/>
        </w:rPr>
        <w:t>Signes articulaires</w:t>
      </w:r>
    </w:p>
    <w:p>
      <w:pPr/>
    </w:p>
    <w:p>
      <w:pPr>
        <w:pStyle w:val="Subtitle"/>
      </w:pPr>
      <w:r>
        <w:rPr>
          <w:rFonts w:ascii="Times New Roman" w:hAnsi="Times New Roman"/>
          <w:b/>
        </w:rPr>
        <w:t>Purpura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 xml:space="preserve">Pétéchial(punctiforme) 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>Tendance symétrique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 xml:space="preserve">Face externe et antérieure des jambes, face postérieure de l'avant-bras </w:t>
      </w:r>
      <w:r>
        <w:rPr>
          <w:rFonts w:ascii="Times New Roman" w:hAnsi="Times New Roman"/>
          <w:i/>
        </w:rPr>
        <w:t>par la sensibilité élevé des circulations capillaires là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Prédominance :</w:t>
      </w:r>
      <w:r>
        <w:rPr>
          <w:rFonts w:ascii="Times New Roman" w:hAnsi="Times New Roman"/>
        </w:rPr>
        <w:t xml:space="preserve"> os superficiel</w:t>
      </w:r>
    </w:p>
    <w:p>
      <w:pPr>
        <w:numPr>
          <w:ilvl w:val="1"/>
          <w:numId w:val="56"/>
        </w:numPr>
      </w:pPr>
      <w:r>
        <w:rPr>
          <w:rFonts w:ascii="Times New Roman" w:hAnsi="Times New Roman"/>
        </w:rPr>
        <w:t>Extrémités et face de façon inconstante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 xml:space="preserve">Forme </w:t>
      </w:r>
      <w:r>
        <w:rPr>
          <w:rFonts w:ascii="Times New Roman" w:hAnsi="Times New Roman"/>
        </w:rPr>
        <w:t>atypique :</w:t>
      </w:r>
      <w:r>
        <w:rPr>
          <w:rFonts w:ascii="Times New Roman" w:hAnsi="Times New Roman"/>
        </w:rPr>
        <w:t xml:space="preserve"> urticaire, tâches nécrotiques et ulcérations</w:t>
      </w:r>
    </w:p>
    <w:p>
      <w:pPr>
        <w:numPr>
          <w:ilvl w:val="0"/>
          <w:numId w:val="56"/>
        </w:numPr>
      </w:pPr>
      <w:r>
        <w:rPr>
          <w:rFonts w:ascii="Times New Roman" w:hAnsi="Times New Roman"/>
        </w:rPr>
        <w:t>Jamais d'ecchymose, ni hémorragie muqueuse</w:t>
      </w:r>
    </w:p>
    <w:p>
      <w:pPr>
        <w:numPr>
          <w:ilvl w:val="0"/>
          <w:numId w:val="56"/>
        </w:numPr>
      </w:pPr>
      <w:r>
        <w:rPr>
          <w:rFonts w:ascii="Times New Roman" w:hAnsi="Times New Roman"/>
          <w:b/>
        </w:rPr>
        <w:t>Éruptions favorisées par l'orthostatisme</w:t>
      </w:r>
    </w:p>
    <w:p>
      <w:pPr/>
    </w:p>
    <w:p>
      <w:pPr>
        <w:pStyle w:val="Subtitle"/>
      </w:pPr>
      <w:r>
        <w:rPr>
          <w:rFonts w:ascii="Times New Roman" w:hAnsi="Times New Roman"/>
          <w:b/>
          <w:sz w:val="22"/>
        </w:rPr>
        <w:t xml:space="preserve">Syndrome infectieux </w:t>
      </w:r>
    </w:p>
    <w:p>
      <w:pPr>
        <w:numPr>
          <w:ilvl w:val="0"/>
          <w:numId w:val="57"/>
        </w:numPr>
      </w:pPr>
      <w:r>
        <w:rPr>
          <w:rFonts w:ascii="Times New Roman" w:hAnsi="Times New Roman"/>
        </w:rPr>
        <w:t>Plus ou moins discrets</w:t>
      </w:r>
    </w:p>
    <w:p>
      <w:pPr>
        <w:numPr>
          <w:ilvl w:val="0"/>
          <w:numId w:val="57"/>
        </w:numPr>
      </w:pPr>
      <w:r>
        <w:rPr>
          <w:rFonts w:ascii="Times New Roman" w:hAnsi="Times New Roman"/>
        </w:rPr>
        <w:t>Élévations thermiques modérées Au cours des poussées éruptives ou articulaires</w:t>
      </w:r>
    </w:p>
    <w:p>
      <w:pPr/>
    </w:p>
    <w:p>
      <w:pPr>
        <w:pStyle w:val="Subtitle"/>
      </w:pPr>
      <w:r>
        <w:rPr>
          <w:rFonts w:ascii="Times New Roman" w:hAnsi="Times New Roman"/>
          <w:b/>
          <w:sz w:val="22"/>
        </w:rPr>
        <w:t xml:space="preserve">Signes articulaires 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>Arthralgie fugace modérée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>Même territoire que l'éruption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>Influencée par l'orthostatisme, guérison sans séquelles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>Signes négatifs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>Pas de trouble digestif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>Pas d'atteinte viscérale</w:t>
      </w:r>
    </w:p>
    <w:p>
      <w:pPr>
        <w:numPr>
          <w:ilvl w:val="1"/>
          <w:numId w:val="58"/>
        </w:numPr>
      </w:pPr>
      <w:r>
        <w:rPr>
          <w:rFonts w:ascii="Times New Roman" w:hAnsi="Times New Roman"/>
        </w:rPr>
        <w:t>Pas de signe hématologique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(splénomégalie, hépatomégalie, adénomégalie) </w:t>
      </w:r>
    </w:p>
    <w:p>
      <w:pPr>
        <w:pStyle w:val="Heading2"/>
      </w:pPr>
      <w:r>
        <w:rPr/>
        <w:t>BIOLOGIE</w:t>
      </w:r>
    </w:p>
    <w:p>
      <w:pPr>
        <w:numPr>
          <w:ilvl w:val="0"/>
          <w:numId w:val="59"/>
        </w:numPr>
      </w:pPr>
      <w:r>
        <w:rPr>
          <w:rFonts w:ascii="Times New Roman" w:hAnsi="Times New Roman"/>
        </w:rPr>
        <w:t>Temps de saignement allongé</w:t>
      </w:r>
    </w:p>
    <w:p>
      <w:pPr>
        <w:numPr>
          <w:ilvl w:val="0"/>
          <w:numId w:val="59"/>
        </w:numPr>
      </w:pPr>
      <w:r>
        <w:rPr>
          <w:rFonts w:ascii="Times New Roman" w:hAnsi="Times New Roman"/>
        </w:rPr>
        <w:t>VSH augmentée</w:t>
      </w:r>
    </w:p>
    <w:p>
      <w:pPr>
        <w:numPr>
          <w:ilvl w:val="0"/>
          <w:numId w:val="59"/>
        </w:numPr>
      </w:pPr>
      <w:r>
        <w:rPr>
          <w:rFonts w:ascii="Times New Roman" w:hAnsi="Times New Roman"/>
        </w:rPr>
        <w:t>Autres tests d'hémostase normaux</w:t>
      </w:r>
    </w:p>
    <w:p>
      <w:pPr>
        <w:numPr>
          <w:ilvl w:val="0"/>
          <w:numId w:val="59"/>
        </w:numPr>
      </w:pPr>
      <w:r>
        <w:rPr>
          <w:rFonts w:ascii="Times New Roman" w:hAnsi="Times New Roman"/>
        </w:rPr>
        <w:t>Pas de signes d'infection</w:t>
      </w:r>
    </w:p>
    <w:p>
      <w:pPr>
        <w:numPr>
          <w:ilvl w:val="0"/>
          <w:numId w:val="59"/>
        </w:numPr>
      </w:pPr>
      <w:r>
        <w:rPr>
          <w:rFonts w:ascii="Times New Roman" w:hAnsi="Times New Roman"/>
        </w:rPr>
        <w:t>Médullogramme normale</w:t>
      </w:r>
    </w:p>
    <w:p>
      <w:pPr>
        <w:numPr>
          <w:ilvl w:val="0"/>
          <w:numId w:val="59"/>
        </w:numPr>
      </w:pPr>
      <w:r>
        <w:rPr>
          <w:rFonts w:ascii="Times New Roman" w:hAnsi="Times New Roman"/>
        </w:rPr>
        <w:t xml:space="preserve">Biopsies médullaire, ganglionnaire, </w:t>
      </w:r>
      <w:r>
        <w:rPr>
          <w:rFonts w:ascii="Times New Roman" w:hAnsi="Times New Roman"/>
        </w:rPr>
        <w:t>cutanée :</w:t>
      </w:r>
      <w:r>
        <w:rPr>
          <w:rFonts w:ascii="Times New Roman" w:hAnsi="Times New Roman"/>
        </w:rPr>
        <w:t xml:space="preserve"> normales</w:t>
      </w:r>
    </w:p>
    <w:p>
      <w:pPr>
        <w:numPr>
          <w:ilvl w:val="0"/>
          <w:numId w:val="59"/>
        </w:numPr>
      </w:pPr>
      <w:r>
        <w:rPr>
          <w:rFonts w:ascii="Times New Roman" w:hAnsi="Times New Roman"/>
        </w:rPr>
        <w:t xml:space="preserve">Recherche </w:t>
      </w:r>
      <w:r>
        <w:rPr>
          <w:rFonts w:ascii="Times New Roman" w:hAnsi="Times New Roman"/>
        </w:rPr>
        <w:t>immunologique :</w:t>
      </w:r>
      <w:r>
        <w:rPr>
          <w:rFonts w:ascii="Times New Roman" w:hAnsi="Times New Roman"/>
        </w:rPr>
        <w:t xml:space="preserve"> négative (normale) </w:t>
      </w:r>
    </w:p>
    <w:p>
      <w:pPr>
        <w:pStyle w:val="Heading2"/>
      </w:pPr>
      <w:r>
        <w:rPr/>
        <w:t>EVOLUTION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color w:val="000000"/>
        </w:rPr>
        <w:t xml:space="preserve">Dans la forme </w:t>
      </w:r>
      <w:r>
        <w:rPr>
          <w:rFonts w:ascii="Times New Roman" w:hAnsi="Times New Roman"/>
          <w:color w:val="000000"/>
        </w:rPr>
        <w:t>commune :</w:t>
      </w:r>
      <w:r>
        <w:rPr>
          <w:rFonts w:ascii="Times New Roman" w:hAnsi="Times New Roman"/>
          <w:color w:val="000000"/>
        </w:rPr>
        <w:t xml:space="preserve"> 2-3 semaines, raccourci par le repos absolu et traitement inflammatoire</w:t>
      </w:r>
    </w:p>
    <w:p>
      <w:pPr>
        <w:numPr>
          <w:ilvl w:val="1"/>
          <w:numId w:val="60"/>
        </w:numPr>
      </w:pPr>
      <w:r>
        <w:rPr>
          <w:rFonts w:ascii="Times New Roman" w:hAnsi="Times New Roman"/>
          <w:color w:val="000000"/>
        </w:rPr>
        <w:t>Rechutes quand le malade se met debout</w:t>
      </w:r>
    </w:p>
    <w:p>
      <w:pPr>
        <w:numPr>
          <w:ilvl w:val="1"/>
          <w:numId w:val="60"/>
        </w:numPr>
      </w:pPr>
      <w:r>
        <w:rPr>
          <w:rFonts w:ascii="Times New Roman" w:hAnsi="Times New Roman"/>
          <w:color w:val="000000"/>
        </w:rPr>
        <w:t xml:space="preserve">Rechutes à </w:t>
      </w:r>
      <w:r>
        <w:rPr>
          <w:rFonts w:ascii="Times New Roman" w:hAnsi="Times New Roman"/>
          <w:color w:val="000000"/>
        </w:rPr>
        <w:t>distance (</w:t>
      </w:r>
      <w:r>
        <w:rPr>
          <w:rFonts w:ascii="Times New Roman" w:hAnsi="Times New Roman"/>
          <w:color w:val="000000"/>
        </w:rPr>
        <w:t xml:space="preserve">guérison complète après 4-5 ans d'évolution) 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color w:val="000000"/>
        </w:rPr>
        <w:t xml:space="preserve">Dans certaines </w:t>
      </w:r>
      <w:r>
        <w:rPr>
          <w:rFonts w:ascii="Times New Roman" w:hAnsi="Times New Roman"/>
          <w:color w:val="000000"/>
        </w:rPr>
        <w:t>formes :</w:t>
      </w:r>
      <w:r>
        <w:rPr>
          <w:rFonts w:ascii="Times New Roman" w:hAnsi="Times New Roman"/>
          <w:color w:val="000000"/>
        </w:rPr>
        <w:t xml:space="preserve"> poussées à chaque </w:t>
      </w:r>
      <w:r>
        <w:rPr>
          <w:rFonts w:ascii="Times New Roman" w:hAnsi="Times New Roman"/>
          <w:color w:val="000000"/>
        </w:rPr>
        <w:t>levée :</w:t>
      </w:r>
      <w:r>
        <w:rPr>
          <w:rFonts w:ascii="Times New Roman" w:hAnsi="Times New Roman"/>
          <w:color w:val="000000"/>
        </w:rPr>
        <w:t xml:space="preserve"> purpura </w:t>
      </w:r>
      <w:r>
        <w:rPr>
          <w:rFonts w:ascii="Times New Roman" w:hAnsi="Times New Roman"/>
          <w:color w:val="000000"/>
        </w:rPr>
        <w:t>subaigüe</w:t>
      </w:r>
      <w:r>
        <w:rPr>
          <w:rFonts w:ascii="Times New Roman" w:hAnsi="Times New Roman"/>
          <w:color w:val="000000"/>
        </w:rPr>
        <w:t xml:space="preserve"> et infirmité</w:t>
      </w:r>
    </w:p>
    <w:p>
      <w:pPr>
        <w:numPr>
          <w:ilvl w:val="0"/>
          <w:numId w:val="60"/>
        </w:numPr>
      </w:pPr>
      <w:r>
        <w:rPr>
          <w:rFonts w:ascii="Times New Roman" w:hAnsi="Times New Roman"/>
          <w:b/>
          <w:color w:val="000000"/>
        </w:rPr>
        <w:t>COMPLICATIONS</w:t>
      </w:r>
    </w:p>
    <w:p>
      <w:pPr>
        <w:numPr>
          <w:ilvl w:val="1"/>
          <w:numId w:val="60"/>
        </w:numPr>
      </w:pPr>
      <w:r>
        <w:rPr>
          <w:rFonts w:ascii="Times New Roman" w:hAnsi="Times New Roman"/>
          <w:color w:val="000000"/>
        </w:rPr>
        <w:t>Atteintes abdominales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color w:val="000000"/>
        </w:rPr>
        <w:t>Crises douloureuses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color w:val="000000"/>
        </w:rPr>
        <w:t xml:space="preserve">Diarrhées </w:t>
      </w:r>
      <w:r>
        <w:rPr>
          <w:rFonts w:ascii="Times New Roman" w:hAnsi="Times New Roman"/>
          <w:color w:val="000000"/>
        </w:rPr>
        <w:t>sanglantes (</w:t>
      </w:r>
      <w:r>
        <w:rPr>
          <w:rFonts w:ascii="Times New Roman" w:hAnsi="Times New Roman"/>
          <w:color w:val="000000"/>
        </w:rPr>
        <w:t xml:space="preserve">purpura intestinal) </w:t>
      </w:r>
    </w:p>
    <w:p>
      <w:pPr>
        <w:numPr>
          <w:ilvl w:val="1"/>
          <w:numId w:val="60"/>
        </w:numPr>
      </w:pPr>
      <w:r>
        <w:rPr>
          <w:rFonts w:ascii="Times New Roman" w:hAnsi="Times New Roman"/>
          <w:color w:val="000000"/>
        </w:rPr>
        <w:t>Rénales (</w:t>
      </w:r>
      <w:r>
        <w:rPr>
          <w:rFonts w:ascii="Times New Roman" w:hAnsi="Times New Roman"/>
          <w:color w:val="000000"/>
        </w:rPr>
        <w:t xml:space="preserve">les plus graves) 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color w:val="000000"/>
        </w:rPr>
        <w:t>Hématurie macroscopique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color w:val="000000"/>
        </w:rPr>
        <w:t>Glomérulopathie sévère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color w:val="000000"/>
        </w:rPr>
        <w:t>Insuffisance rénale séquellaire grave</w:t>
      </w:r>
    </w:p>
    <w:p>
      <w:pPr>
        <w:numPr>
          <w:ilvl w:val="1"/>
          <w:numId w:val="60"/>
        </w:numPr>
      </w:pPr>
      <w:r>
        <w:rPr>
          <w:rFonts w:ascii="Times New Roman" w:hAnsi="Times New Roman"/>
          <w:color w:val="000000"/>
        </w:rPr>
        <w:t>Autres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color w:val="000000"/>
        </w:rPr>
        <w:t>Pleuropéricardiques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color w:val="000000"/>
        </w:rPr>
        <w:t>Hémorragies oculaires</w:t>
      </w:r>
    </w:p>
    <w:p>
      <w:pPr>
        <w:numPr>
          <w:ilvl w:val="2"/>
          <w:numId w:val="60"/>
        </w:numPr>
      </w:pPr>
      <w:r>
        <w:rPr>
          <w:rFonts w:ascii="Times New Roman" w:hAnsi="Times New Roman"/>
          <w:color w:val="000000"/>
        </w:rPr>
        <w:t>Atteintes myocardiques</w:t>
      </w:r>
    </w:p>
    <w:p>
      <w:pPr>
        <w:pStyle w:val="Heading2"/>
      </w:pPr>
      <w:r>
        <w:rPr/>
        <w:t>TRAITEMENT</w:t>
      </w:r>
    </w:p>
    <w:p>
      <w:pPr>
        <w:numPr>
          <w:ilvl w:val="0"/>
          <w:numId w:val="61"/>
        </w:numPr>
      </w:pPr>
      <w:r>
        <w:rPr>
          <w:rFonts w:ascii="Times New Roman" w:hAnsi="Times New Roman"/>
        </w:rPr>
        <w:t>Traitement anti-inflammatoire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Corticothérapie à dose anti-</w:t>
      </w:r>
      <w:r>
        <w:rPr>
          <w:rFonts w:ascii="Times New Roman" w:hAnsi="Times New Roman"/>
        </w:rPr>
        <w:t>inflammatoire :</w:t>
      </w:r>
      <w:r>
        <w:rPr>
          <w:rFonts w:ascii="Times New Roman" w:hAnsi="Times New Roman"/>
        </w:rPr>
        <w:t xml:space="preserve"> Prednisone 0,5-1mg/kg/j, 2-6 semaines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Ou Anti-inflammatoires non stéroïdiens AINS</w:t>
      </w:r>
    </w:p>
    <w:p>
      <w:pPr>
        <w:numPr>
          <w:ilvl w:val="0"/>
          <w:numId w:val="61"/>
        </w:numPr>
      </w:pPr>
      <w:r>
        <w:rPr>
          <w:rFonts w:ascii="Times New Roman" w:hAnsi="Times New Roman"/>
        </w:rPr>
        <w:t>En association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Repos strict au lit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>Couverture antibiotique</w:t>
      </w:r>
    </w:p>
    <w:p>
      <w:pPr>
        <w:numPr>
          <w:ilvl w:val="1"/>
          <w:numId w:val="61"/>
        </w:numPr>
      </w:pPr>
      <w:r>
        <w:rPr>
          <w:rFonts w:ascii="Times New Roman" w:hAnsi="Times New Roman"/>
        </w:rPr>
        <w:t xml:space="preserve">Protecteurs </w:t>
      </w:r>
      <w:r>
        <w:rPr>
          <w:rFonts w:ascii="Times New Roman" w:hAnsi="Times New Roman"/>
        </w:rPr>
        <w:t>vasculaires (</w:t>
      </w:r>
      <w:r>
        <w:rPr>
          <w:rFonts w:ascii="Times New Roman" w:hAnsi="Times New Roman"/>
        </w:rPr>
        <w:t>Dicynone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renforce le tonus vasculaire,</w:t>
      </w:r>
      <w:r>
        <w:rPr>
          <w:rFonts w:ascii="Times New Roman" w:hAnsi="Times New Roman"/>
        </w:rPr>
        <w:t xml:space="preserve"> vitamine C) et </w:t>
      </w:r>
      <w:r>
        <w:rPr>
          <w:rFonts w:ascii="Times New Roman" w:hAnsi="Times New Roman"/>
        </w:rPr>
        <w:t>antihémorragiques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