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PURPURA THROMBOPENIQUE IDIOPATHIQUE PTI</w:t>
      </w:r>
    </w:p>
    <w:p>
      <w:pPr>
        <w:numPr>
          <w:ilvl w:val="0"/>
          <w:numId w:val="34"/>
        </w:numPr>
      </w:pPr>
      <w:r>
        <w:rPr>
          <w:rFonts w:ascii="Times New Roman" w:hAnsi="Times New Roman"/>
        </w:rPr>
        <w:t>Purpura avec thrombopénie</w:t>
      </w:r>
    </w:p>
    <w:p>
      <w:pPr>
        <w:numPr>
          <w:ilvl w:val="1"/>
          <w:numId w:val="34"/>
        </w:numPr>
      </w:pPr>
      <w:r>
        <w:rPr>
          <w:rFonts w:ascii="Times New Roman" w:hAnsi="Times New Roman"/>
        </w:rPr>
        <w:t>Sans cause évidente</w:t>
      </w:r>
    </w:p>
    <w:p>
      <w:pPr>
        <w:numPr>
          <w:ilvl w:val="1"/>
          <w:numId w:val="34"/>
        </w:numPr>
      </w:pPr>
      <w:r>
        <w:rPr>
          <w:rFonts w:ascii="Times New Roman" w:hAnsi="Times New Roman"/>
        </w:rPr>
        <w:t xml:space="preserve">Plusieurs mécanismes dont </w:t>
      </w:r>
      <w:r>
        <w:rPr>
          <w:rFonts w:ascii="Times New Roman" w:hAnsi="Times New Roman"/>
          <w:b/>
        </w:rPr>
        <w:t>l'auto-immunisation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(</w:t>
      </w:r>
      <w:r>
        <w:rPr>
          <w:rFonts w:ascii="Times New Roman" w:hAnsi="Times New Roman"/>
          <w:b/>
          <w:i/>
        </w:rPr>
        <w:t xml:space="preserve">présence d'anticorps) </w:t>
      </w:r>
    </w:p>
    <w:p>
      <w:pPr>
        <w:numPr>
          <w:ilvl w:val="0"/>
          <w:numId w:val="34"/>
        </w:numPr>
      </w:pPr>
      <w:r>
        <w:rPr>
          <w:rFonts w:ascii="Times New Roman" w:hAnsi="Times New Roman"/>
        </w:rPr>
        <w:t>Entité clinique bien déterminée, la plus fréquente des cytopénies auto-immunes</w:t>
      </w:r>
    </w:p>
    <w:p>
      <w:pPr>
        <w:numPr>
          <w:ilvl w:val="0"/>
          <w:numId w:val="34"/>
        </w:numPr>
      </w:pPr>
      <w:r>
        <w:rPr>
          <w:rFonts w:ascii="Times New Roman" w:hAnsi="Times New Roman"/>
        </w:rPr>
        <w:t>Sujet jeune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(10 ans), mais peut atteindre tous les âges</w:t>
      </w:r>
    </w:p>
    <w:p>
      <w:pPr>
        <w:numPr>
          <w:ilvl w:val="0"/>
          <w:numId w:val="34"/>
        </w:numPr>
      </w:pPr>
      <w:r>
        <w:rPr>
          <w:rFonts w:ascii="Times New Roman" w:hAnsi="Times New Roman"/>
        </w:rPr>
        <w:t>Prédominance féminine</w:t>
      </w:r>
    </w:p>
    <w:p>
      <w:pPr>
        <w:pStyle w:val="Heading2"/>
      </w:pPr>
      <w:r>
        <w:rPr/>
        <w:t>Gravité</w:t>
      </w:r>
    </w:p>
    <w:p>
      <w:pPr>
        <w:numPr>
          <w:ilvl w:val="0"/>
          <w:numId w:val="35"/>
        </w:numPr>
      </w:pPr>
      <w:r>
        <w:rPr>
          <w:rFonts w:ascii="Times New Roman" w:hAnsi="Times New Roman"/>
        </w:rPr>
        <w:t xml:space="preserve">Risque hémorragique, la plus grave étant une localisation </w:t>
      </w:r>
      <w:r>
        <w:rPr>
          <w:rFonts w:ascii="Times New Roman" w:hAnsi="Times New Roman"/>
        </w:rPr>
        <w:t>cérébro</w:t>
      </w:r>
      <w:r>
        <w:rPr>
          <w:rFonts w:ascii="Times New Roman" w:hAnsi="Times New Roman"/>
        </w:rPr>
        <w:t>-</w:t>
      </w:r>
      <w:r>
        <w:rPr>
          <w:rFonts w:ascii="Times New Roman" w:hAnsi="Times New Roman"/>
        </w:rPr>
        <w:t>méningée (</w:t>
      </w:r>
      <w:r>
        <w:rPr>
          <w:rFonts w:ascii="Times New Roman" w:hAnsi="Times New Roman"/>
        </w:rPr>
        <w:t>1%)</w:t>
      </w:r>
    </w:p>
    <w:p>
      <w:pPr>
        <w:numPr>
          <w:ilvl w:val="0"/>
          <w:numId w:val="35"/>
        </w:numPr>
      </w:pPr>
      <w:r>
        <w:rPr>
          <w:rFonts w:ascii="Times New Roman" w:hAnsi="Times New Roman"/>
        </w:rPr>
        <w:t xml:space="preserve">Manifestations hémorragiques responsables d'une mortalité </w:t>
      </w:r>
      <w:r>
        <w:rPr>
          <w:rFonts w:ascii="Times New Roman" w:hAnsi="Times New Roman"/>
          <w:i/>
        </w:rPr>
        <w:t xml:space="preserve">plus </w:t>
      </w:r>
      <w:r>
        <w:rPr>
          <w:rFonts w:ascii="Times New Roman" w:hAnsi="Times New Roman"/>
        </w:rPr>
        <w:t>de 5%</w:t>
      </w:r>
    </w:p>
    <w:p>
      <w:pPr>
        <w:pStyle w:val="Heading2"/>
      </w:pPr>
      <w:r>
        <w:rPr/>
        <w:t>Clinique</w:t>
      </w:r>
    </w:p>
    <w:p>
      <w:pPr>
        <w:numPr>
          <w:ilvl w:val="0"/>
          <w:numId w:val="36"/>
        </w:numPr>
      </w:pPr>
      <w:r>
        <w:rPr>
          <w:rFonts w:ascii="Times New Roman" w:hAnsi="Times New Roman"/>
          <w:b/>
        </w:rPr>
        <w:t>Début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>Progressif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(subaiguë ou chronique) </w:t>
      </w:r>
    </w:p>
    <w:p>
      <w:pPr>
        <w:numPr>
          <w:ilvl w:val="1"/>
          <w:numId w:val="36"/>
        </w:numPr>
      </w:pPr>
      <w:r>
        <w:rPr>
          <w:rFonts w:ascii="Times New Roman" w:hAnsi="Times New Roman"/>
        </w:rPr>
        <w:t xml:space="preserve">Brutal (aiguë) </w:t>
      </w:r>
    </w:p>
    <w:p>
      <w:pPr>
        <w:numPr>
          <w:ilvl w:val="2"/>
          <w:numId w:val="36"/>
        </w:numPr>
      </w:pPr>
      <w:r>
        <w:rPr>
          <w:rFonts w:ascii="Times New Roman" w:hAnsi="Times New Roman"/>
        </w:rPr>
        <w:t>Gingivorragies</w:t>
      </w:r>
      <w:r>
        <w:rPr>
          <w:rFonts w:ascii="Times New Roman" w:hAnsi="Times New Roman"/>
        </w:rPr>
        <w:t>, épistaxis, ménométrorragies</w:t>
      </w:r>
    </w:p>
    <w:p>
      <w:pPr>
        <w:numPr>
          <w:ilvl w:val="0"/>
          <w:numId w:val="36"/>
        </w:numPr>
      </w:pPr>
      <w:r>
        <w:rPr>
          <w:rFonts w:ascii="Times New Roman" w:hAnsi="Times New Roman"/>
          <w:b/>
        </w:rPr>
        <w:t>Etat</w:t>
      </w:r>
    </w:p>
    <w:p>
      <w:pPr/>
      <w:r>
        <w:rPr>
          <w:rFonts w:ascii="Times New Roman" w:hAnsi="Times New Roman"/>
          <w:b/>
        </w:rPr>
        <w:t>Hémorragies cutanéo-muqueuses</w:t>
      </w:r>
    </w:p>
    <w:p>
      <w:pPr>
        <w:numPr>
          <w:ilvl w:val="0"/>
          <w:numId w:val="37"/>
        </w:numPr>
      </w:pPr>
      <w:r>
        <w:rPr>
          <w:rFonts w:ascii="Times New Roman" w:hAnsi="Times New Roman"/>
          <w:b/>
        </w:rPr>
        <w:t>Purpura</w:t>
      </w:r>
    </w:p>
    <w:p>
      <w:pPr>
        <w:numPr>
          <w:ilvl w:val="1"/>
          <w:numId w:val="37"/>
        </w:numPr>
      </w:pPr>
      <w:r>
        <w:rPr>
          <w:rFonts w:ascii="Times New Roman" w:hAnsi="Times New Roman"/>
          <w:color w:val="000000"/>
        </w:rPr>
        <w:t>Apparition brusque</w:t>
      </w:r>
    </w:p>
    <w:p>
      <w:pPr>
        <w:numPr>
          <w:ilvl w:val="1"/>
          <w:numId w:val="37"/>
        </w:numPr>
      </w:pPr>
      <w:r>
        <w:rPr>
          <w:rFonts w:ascii="Times New Roman" w:hAnsi="Times New Roman"/>
        </w:rPr>
        <w:t>Diffusé, cutanéo-muqueuse</w:t>
      </w:r>
    </w:p>
    <w:p>
      <w:pPr>
        <w:numPr>
          <w:ilvl w:val="1"/>
          <w:numId w:val="37"/>
        </w:numPr>
      </w:pPr>
      <w:r>
        <w:rPr>
          <w:rFonts w:ascii="Times New Roman" w:hAnsi="Times New Roman"/>
        </w:rPr>
        <w:t>Punctiforme+++, ecchymoses, larges hémorragies sous muqueuses</w:t>
      </w:r>
    </w:p>
    <w:p>
      <w:pPr>
        <w:numPr>
          <w:ilvl w:val="0"/>
          <w:numId w:val="37"/>
        </w:numPr>
      </w:pPr>
      <w:r>
        <w:rPr>
          <w:rFonts w:ascii="Times New Roman" w:hAnsi="Times New Roman"/>
        </w:rPr>
        <w:t xml:space="preserve">Hémorragies génitales et digestives si thrombopénie </w:t>
      </w:r>
      <w:r>
        <w:rPr>
          <w:rFonts w:ascii="Times New Roman" w:hAnsi="Times New Roman"/>
        </w:rPr>
        <w:t>inf</w:t>
      </w:r>
      <w:r>
        <w:rPr>
          <w:rFonts w:ascii="Times New Roman" w:hAnsi="Times New Roman"/>
        </w:rPr>
        <w:t xml:space="preserve"> à 10g/l</w:t>
      </w:r>
    </w:p>
    <w:p>
      <w:pPr>
        <w:numPr>
          <w:ilvl w:val="0"/>
          <w:numId w:val="37"/>
        </w:numPr>
      </w:pPr>
      <w:r>
        <w:rPr>
          <w:rFonts w:ascii="Times New Roman" w:hAnsi="Times New Roman"/>
        </w:rPr>
        <w:t xml:space="preserve">Risque d'hémorragie </w:t>
      </w:r>
      <w:r>
        <w:rPr>
          <w:rFonts w:ascii="Times New Roman" w:hAnsi="Times New Roman"/>
        </w:rPr>
        <w:t>cérébro</w:t>
      </w:r>
      <w:r>
        <w:rPr>
          <w:rFonts w:ascii="Times New Roman" w:hAnsi="Times New Roman"/>
        </w:rPr>
        <w:t>-méningés</w:t>
      </w:r>
    </w:p>
    <w:p>
      <w:pPr>
        <w:pStyle w:val="Heading2"/>
      </w:pPr>
      <w:r>
        <w:rPr/>
        <w:t>Biologie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>Temps de saignement allongé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>Hémogramme :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Anémie normochrome normocytaire secondaire au purpura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Leucocytose normale</w:t>
      </w:r>
    </w:p>
    <w:p>
      <w:pPr>
        <w:numPr>
          <w:ilvl w:val="1"/>
          <w:numId w:val="38"/>
        </w:numPr>
      </w:pPr>
      <w:r>
        <w:rPr>
          <w:rFonts w:ascii="Times New Roman" w:hAnsi="Times New Roman"/>
          <w:b/>
        </w:rPr>
        <w:t xml:space="preserve">Thrombopénie </w:t>
      </w:r>
      <w:r>
        <w:rPr>
          <w:rFonts w:ascii="Times New Roman" w:hAnsi="Times New Roman"/>
        </w:rPr>
        <w:t>d'intensité parallèle à celle des signes hémorragiques</w:t>
      </w:r>
    </w:p>
    <w:p>
      <w:pPr>
        <w:numPr>
          <w:ilvl w:val="0"/>
          <w:numId w:val="38"/>
        </w:numPr>
      </w:pPr>
      <w:r>
        <w:rPr>
          <w:rFonts w:ascii="Times New Roman" w:hAnsi="Times New Roman"/>
        </w:rPr>
        <w:t>Médullogramme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>Normal</w:t>
      </w:r>
    </w:p>
    <w:p>
      <w:pPr>
        <w:numPr>
          <w:ilvl w:val="1"/>
          <w:numId w:val="38"/>
        </w:numPr>
      </w:pPr>
      <w:r>
        <w:rPr>
          <w:rFonts w:ascii="Times New Roman" w:hAnsi="Times New Roman"/>
        </w:rPr>
        <w:t xml:space="preserve">Avec </w:t>
      </w:r>
      <w:r>
        <w:rPr>
          <w:rFonts w:ascii="Times New Roman" w:hAnsi="Times New Roman"/>
          <w:b/>
        </w:rPr>
        <w:t>hyperplasie mégacaryocytaire</w:t>
      </w:r>
      <w:r>
        <w:rPr>
          <w:rFonts w:ascii="Times New Roman" w:hAnsi="Times New Roman"/>
        </w:rPr>
        <w:t xml:space="preserve"> (+ formes jeunes de mégacaryocytes = régénération) </w:t>
      </w:r>
    </w:p>
    <w:p>
      <w:pPr/>
      <w:r>
        <w:rPr>
          <w:rFonts w:ascii="Times New Roman" w:hAnsi="Times New Roman"/>
          <w:b/>
          <w:sz w:val="26"/>
        </w:rPr>
        <w:t>LA RECHERCHE ÉTIOLOGIQUE EST NEGATIVE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Pas de processus leucémique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Pas d'aplasie médullaire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Test direct à l'</w:t>
      </w:r>
      <w:r>
        <w:rPr>
          <w:rFonts w:ascii="Times New Roman" w:hAnsi="Times New Roman"/>
        </w:rPr>
        <w:t>antiglovuline</w:t>
      </w:r>
      <w:r>
        <w:rPr>
          <w:rFonts w:ascii="Times New Roman" w:hAnsi="Times New Roman"/>
        </w:rPr>
        <w:t xml:space="preserve"> (Coombs direct) </w:t>
      </w:r>
      <w:r>
        <w:rPr>
          <w:rFonts w:ascii="Times New Roman" w:hAnsi="Times New Roman"/>
          <w:b/>
        </w:rPr>
        <w:t>négatif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 xml:space="preserve">Immunologie plaquettaire </w:t>
      </w:r>
      <w:r>
        <w:rPr>
          <w:rFonts w:ascii="Times New Roman" w:hAnsi="Times New Roman"/>
          <w:b/>
        </w:rPr>
        <w:t>positive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Pas de cancer ni métastase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>Durée de vie des plaquettes raccourcie, avec séquestration splénique</w:t>
      </w:r>
    </w:p>
    <w:p>
      <w:pPr>
        <w:numPr>
          <w:ilvl w:val="0"/>
          <w:numId w:val="39"/>
        </w:numPr>
      </w:pPr>
      <w:r>
        <w:rPr>
          <w:rFonts w:ascii="Times New Roman" w:hAnsi="Times New Roman"/>
        </w:rPr>
        <w:t xml:space="preserve">TQ TCA Facteurs plasmatiques </w:t>
      </w:r>
      <w:r>
        <w:rPr>
          <w:rFonts w:ascii="Times New Roman" w:hAnsi="Times New Roman"/>
        </w:rPr>
        <w:t xml:space="preserve">de la coagulation </w:t>
      </w:r>
      <w:r>
        <w:rPr>
          <w:rFonts w:ascii="Times New Roman" w:hAnsi="Times New Roman"/>
          <w:b/>
        </w:rPr>
        <w:t>normale</w:t>
      </w:r>
    </w:p>
    <w:p>
      <w:pPr>
        <w:pStyle w:val="Heading2"/>
      </w:pPr>
      <w:r>
        <w:rPr/>
        <w:t>Diagnostic différentiel</w:t>
      </w:r>
    </w:p>
    <w:p>
      <w:pPr>
        <w:numPr>
          <w:ilvl w:val="0"/>
          <w:numId w:val="40"/>
        </w:numPr>
      </w:pPr>
      <w:r>
        <w:rPr>
          <w:rFonts w:ascii="Times New Roman" w:hAnsi="Times New Roman"/>
        </w:rPr>
        <w:t>Numération plaquettaire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Purpura d'origine vasculaire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Thrombopathies</w:t>
      </w:r>
    </w:p>
    <w:p>
      <w:pPr>
        <w:numPr>
          <w:ilvl w:val="0"/>
          <w:numId w:val="40"/>
        </w:numPr>
      </w:pPr>
      <w:r>
        <w:rPr>
          <w:rFonts w:ascii="Times New Roman" w:hAnsi="Times New Roman"/>
        </w:rPr>
        <w:t>Absence d'étiologie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Purpura thrombopénie secondaire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Leucémies aiguës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Myélome, maladie de Hodgkin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Affections toxiques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 xml:space="preserve">Professionnelles, 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 xml:space="preserve">Ou post </w:t>
      </w:r>
      <w:r>
        <w:rPr>
          <w:rFonts w:ascii="Times New Roman" w:hAnsi="Times New Roman"/>
        </w:rPr>
        <w:t>thérapeutiques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 xml:space="preserve">diurétiques </w:t>
      </w:r>
      <w:r>
        <w:rPr>
          <w:rFonts w:ascii="Times New Roman" w:hAnsi="Times New Roman"/>
          <w:i/>
        </w:rPr>
        <w:t>enalapril</w:t>
      </w:r>
      <w:r>
        <w:rPr>
          <w:rFonts w:ascii="Times New Roman" w:hAnsi="Times New Roman"/>
          <w:i/>
        </w:rPr>
        <w:t xml:space="preserve"> thrombopénie sévère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Hypersplénisme isolé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>Anémie hémolytique auto-immune idiopathique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Hyper hémolyse érythrocytaire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Hyper hémolyse plaquettaire</w:t>
      </w:r>
    </w:p>
    <w:p>
      <w:pPr>
        <w:numPr>
          <w:ilvl w:val="1"/>
          <w:numId w:val="40"/>
        </w:numPr>
      </w:pPr>
      <w:r>
        <w:rPr>
          <w:rFonts w:ascii="Times New Roman" w:hAnsi="Times New Roman"/>
        </w:rPr>
        <w:t xml:space="preserve">Maladie de </w:t>
      </w:r>
      <w:r>
        <w:rPr>
          <w:rFonts w:ascii="Times New Roman" w:hAnsi="Times New Roman"/>
        </w:rPr>
        <w:t>Moschowicz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Anémie hémolytique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Signes rénaux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Signes neurologiques</w:t>
      </w:r>
    </w:p>
    <w:p>
      <w:pPr>
        <w:numPr>
          <w:ilvl w:val="2"/>
          <w:numId w:val="40"/>
        </w:numPr>
      </w:pPr>
      <w:r>
        <w:rPr>
          <w:rFonts w:ascii="Times New Roman" w:hAnsi="Times New Roman"/>
        </w:rPr>
        <w:t>Microangiopathie généralisée</w:t>
      </w:r>
    </w:p>
    <w:p>
      <w:pPr>
        <w:pStyle w:val="Heading2"/>
      </w:pPr>
      <w:r>
        <w:rPr/>
        <w:t>Traitement</w:t>
      </w:r>
    </w:p>
    <w:p>
      <w:pPr>
        <w:numPr>
          <w:ilvl w:val="0"/>
          <w:numId w:val="41"/>
        </w:numPr>
      </w:pPr>
      <w:r>
        <w:rPr>
          <w:rFonts w:ascii="Times New Roman" w:hAnsi="Times New Roman"/>
        </w:rPr>
        <w:t>En fonction de la tolérance clinique</w:t>
      </w:r>
    </w:p>
    <w:p>
      <w:pPr>
        <w:numPr>
          <w:ilvl w:val="0"/>
          <w:numId w:val="41"/>
        </w:numPr>
      </w:pPr>
      <w:r>
        <w:rPr>
          <w:rFonts w:ascii="Times New Roman" w:hAnsi="Times New Roman"/>
        </w:rPr>
        <w:t>Un peu moins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  <w:i/>
        </w:rPr>
        <w:t xml:space="preserve">voire pas) </w:t>
      </w:r>
      <w:r>
        <w:rPr>
          <w:rFonts w:ascii="Times New Roman" w:hAnsi="Times New Roman"/>
        </w:rPr>
        <w:t>en fonction du chiffre plaquettaire</w:t>
      </w:r>
    </w:p>
    <w:p>
      <w:pPr/>
    </w:p>
    <w:p>
      <w:pPr>
        <w:numPr>
          <w:ilvl w:val="0"/>
          <w:numId w:val="42"/>
        </w:numPr>
      </w:pPr>
      <w:r>
        <w:rPr>
          <w:rFonts w:ascii="Times New Roman" w:hAnsi="Times New Roman"/>
        </w:rPr>
        <w:t xml:space="preserve">Formes </w:t>
      </w:r>
      <w:r>
        <w:rPr>
          <w:rFonts w:ascii="Times New Roman" w:hAnsi="Times New Roman"/>
        </w:rPr>
        <w:t>aiguës :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Corticothérapie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Splénectomie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 xml:space="preserve">Anabolisant </w:t>
      </w:r>
      <w:r>
        <w:rPr>
          <w:rFonts w:ascii="Times New Roman" w:hAnsi="Times New Roman"/>
          <w:i/>
        </w:rPr>
        <w:t xml:space="preserve">qui </w:t>
      </w:r>
      <w:r>
        <w:rPr>
          <w:rFonts w:ascii="Times New Roman" w:hAnsi="Times New Roman"/>
          <w:i/>
        </w:rPr>
        <w:t>va</w:t>
      </w:r>
      <w:r>
        <w:rPr>
          <w:rFonts w:ascii="Times New Roman" w:hAnsi="Times New Roman"/>
          <w:i/>
        </w:rPr>
        <w:t xml:space="preserve"> transformer les oligo-éléments en matière vivante Vit lasa </w:t>
      </w:r>
      <w:r>
        <w:rPr>
          <w:rFonts w:ascii="Times New Roman" w:hAnsi="Times New Roman"/>
          <w:i/>
        </w:rPr>
        <w:t>manome</w:t>
      </w:r>
      <w:r>
        <w:rPr>
          <w:rFonts w:ascii="Times New Roman" w:hAnsi="Times New Roman"/>
          <w:i/>
        </w:rPr>
        <w:t xml:space="preserve"> cellule</w:t>
      </w:r>
    </w:p>
    <w:p>
      <w:pPr>
        <w:numPr>
          <w:ilvl w:val="1"/>
          <w:numId w:val="42"/>
        </w:numPr>
      </w:pPr>
      <w:r>
        <w:rPr>
          <w:rFonts w:ascii="Times New Roman" w:hAnsi="Times New Roman"/>
        </w:rPr>
        <w:t>Transfusion plaquettaire</w:t>
      </w:r>
    </w:p>
    <w:p>
      <w:pPr>
        <w:pStyle w:val="Heading3"/>
      </w:pPr>
      <w:r>
        <w:rPr/>
        <w:t>Corticothérapie</w:t>
      </w:r>
    </w:p>
    <w:p>
      <w:pPr>
        <w:numPr>
          <w:ilvl w:val="0"/>
          <w:numId w:val="43"/>
        </w:numPr>
      </w:pPr>
      <w:r>
        <w:rPr>
          <w:rFonts w:ascii="Times New Roman" w:hAnsi="Times New Roman"/>
        </w:rPr>
        <w:t>Traitement de première lignée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 xml:space="preserve">2-3mg/kg équivalent de prednisone, </w:t>
      </w:r>
      <w:r>
        <w:rPr>
          <w:rFonts w:ascii="Times New Roman" w:hAnsi="Times New Roman"/>
          <w:i/>
        </w:rPr>
        <w:t>dose immunosuppressive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>3-6 semaines, puis dose dégressive</w:t>
      </w:r>
    </w:p>
    <w:p>
      <w:pPr>
        <w:numPr>
          <w:ilvl w:val="2"/>
          <w:numId w:val="43"/>
        </w:numPr>
      </w:pPr>
      <w:r>
        <w:rPr>
          <w:rFonts w:ascii="Times New Roman" w:hAnsi="Times New Roman"/>
        </w:rPr>
        <w:t>Atténuation du purpura, élévation plaquettes progressive et incomplète</w:t>
      </w:r>
    </w:p>
    <w:p>
      <w:pPr>
        <w:numPr>
          <w:ilvl w:val="2"/>
          <w:numId w:val="43"/>
        </w:numPr>
      </w:pPr>
      <w:r>
        <w:rPr>
          <w:rFonts w:ascii="Times New Roman" w:hAnsi="Times New Roman"/>
        </w:rPr>
        <w:t>Rechute à la dégression, maintenir la dose juste supérieure efficace</w:t>
      </w:r>
    </w:p>
    <w:p>
      <w:pPr>
        <w:numPr>
          <w:ilvl w:val="2"/>
          <w:numId w:val="43"/>
        </w:numPr>
      </w:pPr>
      <w:r>
        <w:rPr>
          <w:rFonts w:ascii="Times New Roman" w:hAnsi="Times New Roman"/>
        </w:rPr>
        <w:t>Arrêt ultérieur plus progressif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 xml:space="preserve">Autres types </w:t>
      </w:r>
      <w:r>
        <w:rPr>
          <w:rFonts w:ascii="Times New Roman" w:hAnsi="Times New Roman"/>
        </w:rPr>
        <w:t>d’immunosuppresseurs :</w:t>
      </w:r>
      <w:r>
        <w:rPr>
          <w:rFonts w:ascii="Times New Roman" w:hAnsi="Times New Roman"/>
        </w:rPr>
        <w:t xml:space="preserve"> Immunoglobulines polyvalentes</w:t>
      </w:r>
    </w:p>
    <w:p>
      <w:pPr>
        <w:numPr>
          <w:ilvl w:val="2"/>
          <w:numId w:val="43"/>
        </w:numPr>
      </w:pPr>
      <w:r>
        <w:rPr>
          <w:rFonts w:ascii="Times New Roman" w:hAnsi="Times New Roman"/>
        </w:rPr>
        <w:t>Tégeline</w:t>
      </w:r>
      <w:r>
        <w:rPr>
          <w:rFonts w:ascii="Times New Roman" w:hAnsi="Times New Roman"/>
        </w:rPr>
        <w:t>*</w:t>
      </w:r>
    </w:p>
    <w:p>
      <w:pPr>
        <w:numPr>
          <w:ilvl w:val="1"/>
          <w:numId w:val="43"/>
        </w:numPr>
      </w:pPr>
      <w:r>
        <w:rPr>
          <w:rFonts w:ascii="Times New Roman" w:hAnsi="Times New Roman"/>
        </w:rPr>
        <w:t>Dapsone</w:t>
      </w:r>
      <w:r>
        <w:rPr>
          <w:rFonts w:ascii="Times New Roman" w:hAnsi="Times New Roman"/>
        </w:rPr>
        <w:t>* en cas d'échec de la corticothérapie</w:t>
      </w:r>
    </w:p>
    <w:p>
      <w:pPr/>
    </w:p>
    <w:p>
      <w:pPr>
        <w:pStyle w:val="Heading3"/>
      </w:pPr>
      <w:r>
        <w:rPr/>
        <w:t>Splénectomie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Seconde ligne et seulement si</w:t>
      </w:r>
    </w:p>
    <w:p>
      <w:pPr>
        <w:numPr>
          <w:ilvl w:val="1"/>
          <w:numId w:val="44"/>
        </w:numPr>
      </w:pPr>
      <w:r>
        <w:rPr>
          <w:rFonts w:ascii="Times New Roman" w:hAnsi="Times New Roman"/>
        </w:rPr>
        <w:t>Échec de la corticothérapie après plusieurs mois</w:t>
      </w:r>
    </w:p>
    <w:p>
      <w:pPr>
        <w:numPr>
          <w:ilvl w:val="1"/>
          <w:numId w:val="44"/>
        </w:numPr>
      </w:pPr>
      <w:r>
        <w:rPr>
          <w:rFonts w:ascii="Times New Roman" w:hAnsi="Times New Roman"/>
        </w:rPr>
        <w:t xml:space="preserve">Séquestration splénique manifeste (radio isotope) 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Rarement en urgence, sous couvert d'une transfusion de plaquettes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En dehors des épisodes hémorragiques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Le résultat de la splénectomie est inconstant et variable</w:t>
      </w:r>
    </w:p>
    <w:p>
      <w:pPr>
        <w:numPr>
          <w:ilvl w:val="0"/>
          <w:numId w:val="44"/>
        </w:numPr>
      </w:pPr>
      <w:r>
        <w:rPr>
          <w:rFonts w:ascii="Times New Roman" w:hAnsi="Times New Roman"/>
        </w:rPr>
        <w:t>Remontée des plaquettes</w:t>
      </w:r>
    </w:p>
    <w:p>
      <w:pPr>
        <w:numPr>
          <w:ilvl w:val="1"/>
          <w:numId w:val="44"/>
        </w:numPr>
      </w:pPr>
      <w:r>
        <w:rPr>
          <w:rFonts w:ascii="Times New Roman" w:hAnsi="Times New Roman"/>
        </w:rPr>
        <w:t>Soit guérison nette</w:t>
      </w:r>
    </w:p>
    <w:p>
      <w:pPr>
        <w:numPr>
          <w:ilvl w:val="1"/>
          <w:numId w:val="44"/>
        </w:numPr>
      </w:pPr>
      <w:r>
        <w:rPr>
          <w:rFonts w:ascii="Times New Roman" w:hAnsi="Times New Roman"/>
        </w:rPr>
        <w:t xml:space="preserve">Soit amélioration transitoire et incomplète, évolution vers "PTI chronique" </w:t>
      </w:r>
    </w:p>
    <w:p>
      <w:pPr>
        <w:numPr>
          <w:ilvl w:val="1"/>
          <w:numId w:val="44"/>
        </w:numPr>
      </w:pPr>
      <w:r>
        <w:rPr>
          <w:rFonts w:ascii="Times New Roman" w:hAnsi="Times New Roman"/>
        </w:rPr>
        <w:t>Soit échec total, le taux de plaquettes baisse</w:t>
      </w:r>
    </w:p>
    <w:p>
      <w:pPr/>
    </w:p>
    <w:p>
      <w:pPr>
        <w:pStyle w:val="Heading3"/>
      </w:pPr>
      <w:r>
        <w:rPr/>
        <w:t>Anabolisants</w:t>
      </w:r>
    </w:p>
    <w:p>
      <w:pPr>
        <w:numPr>
          <w:ilvl w:val="0"/>
          <w:numId w:val="45"/>
        </w:numPr>
      </w:pPr>
      <w:r>
        <w:rPr>
          <w:rFonts w:ascii="Times New Roman" w:hAnsi="Times New Roman"/>
        </w:rPr>
        <w:t>En cas d'échec de la corticothérapie Avant ou après la splénectomie</w:t>
      </w:r>
    </w:p>
    <w:p>
      <w:pPr>
        <w:numPr>
          <w:ilvl w:val="0"/>
          <w:numId w:val="45"/>
        </w:numPr>
      </w:pPr>
      <w:r>
        <w:rPr>
          <w:rFonts w:ascii="Times New Roman" w:hAnsi="Times New Roman"/>
        </w:rPr>
        <w:t xml:space="preserve">Méténolone </w:t>
      </w:r>
      <w:r>
        <w:rPr>
          <w:rFonts w:ascii="Times New Roman" w:hAnsi="Times New Roman"/>
        </w:rPr>
        <w:t>Primobolan</w:t>
      </w:r>
      <w:r>
        <w:rPr>
          <w:rFonts w:ascii="Times New Roman" w:hAnsi="Times New Roman"/>
        </w:rPr>
        <w:t>*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>1mg/kg/j</w:t>
      </w:r>
    </w:p>
    <w:p>
      <w:pPr>
        <w:numPr>
          <w:ilvl w:val="1"/>
          <w:numId w:val="45"/>
        </w:numPr>
      </w:pPr>
      <w:r>
        <w:rPr>
          <w:rFonts w:ascii="Times New Roman" w:hAnsi="Times New Roman"/>
        </w:rPr>
        <w:t xml:space="preserve">Effet </w:t>
      </w:r>
      <w:r>
        <w:rPr>
          <w:rFonts w:ascii="Times New Roman" w:hAnsi="Times New Roman"/>
        </w:rPr>
        <w:t>variable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  <w:i/>
        </w:rPr>
        <w:t>peut marcher, ou non</w:t>
      </w:r>
    </w:p>
    <w:p>
      <w:pPr/>
    </w:p>
    <w:p>
      <w:pPr/>
      <w:r>
        <w:rPr>
          <w:rFonts w:ascii="Times New Roman" w:hAnsi="Times New Roman"/>
          <w:b/>
          <w:u w:val="single"/>
        </w:rPr>
        <w:t>Transfusion plaquettaire</w:t>
      </w:r>
      <w:r>
        <w:rPr>
          <w:rFonts w:ascii="Times New Roman" w:hAnsi="Times New Roman"/>
          <w:b/>
          <w:u w:val="single"/>
        </w:rPr>
        <w:t xml:space="preserve"> </w:t>
      </w:r>
    </w:p>
    <w:p>
      <w:pPr>
        <w:numPr>
          <w:ilvl w:val="0"/>
          <w:numId w:val="46"/>
        </w:numPr>
      </w:pPr>
      <w:r>
        <w:rPr>
          <w:rFonts w:ascii="Times New Roman" w:hAnsi="Times New Roman"/>
        </w:rPr>
        <w:t>Traitement symptomatique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D'efficacité brève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2-3 jours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 xml:space="preserve">Risque de développement d'anticorps </w:t>
      </w:r>
      <w:r>
        <w:rPr>
          <w:rFonts w:ascii="Times New Roman" w:hAnsi="Times New Roman"/>
        </w:rPr>
        <w:t>antiplaquettes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Souvent indiqué pour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Couverture d'interventions chirurgicales ou hémorragies gravissimes</w:t>
      </w:r>
    </w:p>
    <w:p>
      <w:pPr>
        <w:numPr>
          <w:ilvl w:val="2"/>
          <w:numId w:val="46"/>
        </w:numPr>
      </w:pPr>
      <w:r>
        <w:rPr>
          <w:rFonts w:ascii="Times New Roman" w:hAnsi="Times New Roman"/>
        </w:rPr>
        <w:t>Culot plaquettaire</w:t>
      </w:r>
    </w:p>
    <w:p>
      <w:pPr>
        <w:numPr>
          <w:ilvl w:val="2"/>
          <w:numId w:val="46"/>
        </w:numPr>
      </w:pPr>
      <w:r>
        <w:rPr>
          <w:rFonts w:ascii="Times New Roman" w:hAnsi="Times New Roman"/>
        </w:rPr>
        <w:t>Sang frais (échange transfusionnel)</w:t>
      </w:r>
    </w:p>
    <w:p>
      <w:pPr>
        <w:numPr>
          <w:ilvl w:val="0"/>
          <w:numId w:val="46"/>
        </w:numPr>
      </w:pPr>
      <w:r>
        <w:rPr>
          <w:rFonts w:ascii="Times New Roman" w:hAnsi="Times New Roman"/>
        </w:rPr>
        <w:t>Formes chroniques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Si accident modéré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: abstention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Immunodépresseurs</w:t>
      </w:r>
    </w:p>
    <w:p>
      <w:pPr>
        <w:numPr>
          <w:ilvl w:val="2"/>
          <w:numId w:val="46"/>
        </w:numPr>
      </w:pPr>
      <w:r>
        <w:rPr>
          <w:rFonts w:ascii="Times New Roman" w:hAnsi="Times New Roman"/>
        </w:rPr>
        <w:t xml:space="preserve">Mercaptopurine </w:t>
      </w:r>
      <w:r>
        <w:rPr>
          <w:rFonts w:ascii="Times New Roman" w:hAnsi="Times New Roman"/>
        </w:rPr>
        <w:t>Purinethol</w:t>
      </w:r>
      <w:r>
        <w:rPr>
          <w:rFonts w:ascii="Times New Roman" w:hAnsi="Times New Roman"/>
        </w:rPr>
        <w:t>* 1-2mg/kg/j</w:t>
      </w:r>
    </w:p>
    <w:p>
      <w:pPr>
        <w:numPr>
          <w:ilvl w:val="2"/>
          <w:numId w:val="46"/>
        </w:numPr>
      </w:pPr>
      <w:r>
        <w:rPr>
          <w:rFonts w:ascii="Times New Roman" w:hAnsi="Times New Roman"/>
        </w:rPr>
        <w:t>Azathiopurine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Immurel</w:t>
      </w:r>
      <w:r>
        <w:rPr>
          <w:rFonts w:ascii="Times New Roman" w:hAnsi="Times New Roman"/>
        </w:rPr>
        <w:t>* 2-4 mg/kg/j</w:t>
      </w:r>
    </w:p>
    <w:p>
      <w:pPr>
        <w:numPr>
          <w:ilvl w:val="2"/>
          <w:numId w:val="46"/>
        </w:numPr>
      </w:pPr>
      <w:r>
        <w:rPr>
          <w:rFonts w:ascii="Times New Roman" w:hAnsi="Times New Roman"/>
        </w:rPr>
        <w:t>Chloraminophène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Chlorambucil</w:t>
      </w:r>
      <w:r>
        <w:rPr>
          <w:rFonts w:ascii="Times New Roman" w:hAnsi="Times New Roman"/>
        </w:rPr>
        <w:t>* 0,10-0,20 mg/kg/j</w:t>
      </w:r>
    </w:p>
    <w:p>
      <w:pPr>
        <w:numPr>
          <w:ilvl w:val="2"/>
          <w:numId w:val="46"/>
        </w:numPr>
      </w:pPr>
      <w:r>
        <w:rPr>
          <w:rFonts w:ascii="Times New Roman" w:hAnsi="Times New Roman"/>
          <w:b/>
        </w:rPr>
        <w:t xml:space="preserve">Cyclophosphamide </w:t>
      </w:r>
      <w:r>
        <w:rPr>
          <w:rFonts w:ascii="Times New Roman" w:hAnsi="Times New Roman"/>
          <w:b/>
        </w:rPr>
        <w:t>Endoxan</w:t>
      </w:r>
      <w:r>
        <w:rPr>
          <w:rFonts w:ascii="Times New Roman" w:hAnsi="Times New Roman"/>
          <w:b/>
        </w:rPr>
        <w:t>*</w:t>
      </w:r>
    </w:p>
    <w:p>
      <w:pPr>
        <w:numPr>
          <w:ilvl w:val="1"/>
          <w:numId w:val="46"/>
        </w:numPr>
      </w:pPr>
      <w:r>
        <w:rPr>
          <w:rFonts w:ascii="Times New Roman" w:hAnsi="Times New Roman"/>
        </w:rPr>
        <w:t>Oestro-progestatifs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(Ménométrorragies) 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