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SPHEROCYTOSE HEREDITAIRE : MALADIE DE MINKOWSKI CHAUFFARD</w:t>
      </w:r>
    </w:p>
    <w:p>
      <w:pPr>
        <w:pStyle w:val="Heading2"/>
      </w:pPr>
      <w:r>
        <w:rPr/>
        <w:t>DEFINITION</w:t>
      </w:r>
    </w:p>
    <w:p>
      <w:pPr>
        <w:numPr>
          <w:ilvl w:val="0"/>
          <w:numId w:val="121"/>
        </w:numPr>
      </w:pPr>
      <w:r>
        <w:rPr>
          <w:rFonts w:ascii="Times New Roman" w:hAnsi="Times New Roman"/>
        </w:rPr>
        <w:t>Anémie hémolytique congénitale</w:t>
      </w:r>
    </w:p>
    <w:p>
      <w:pPr>
        <w:numPr>
          <w:ilvl w:val="0"/>
          <w:numId w:val="121"/>
        </w:numPr>
      </w:pPr>
      <w:r>
        <w:rPr>
          <w:rFonts w:ascii="Times New Roman" w:hAnsi="Times New Roman"/>
        </w:rPr>
        <w:t>Anomalie génotypique sur la structure membranaire</w:t>
      </w:r>
    </w:p>
    <w:p>
      <w:pPr>
        <w:numPr>
          <w:ilvl w:val="0"/>
          <w:numId w:val="121"/>
        </w:numPr>
      </w:pPr>
      <w:r>
        <w:rPr>
          <w:rFonts w:ascii="Times New Roman" w:hAnsi="Times New Roman"/>
        </w:rPr>
        <w:t>Mode autosomique dominant</w:t>
      </w:r>
    </w:p>
    <w:p>
      <w:pPr>
        <w:numPr>
          <w:ilvl w:val="0"/>
          <w:numId w:val="121"/>
        </w:numPr>
      </w:pPr>
      <w:r>
        <w:rPr>
          <w:rFonts w:ascii="Times New Roman" w:hAnsi="Times New Roman"/>
        </w:rPr>
        <w:t>La moins fréquente à Madagascar</w:t>
      </w:r>
    </w:p>
    <w:p>
      <w:pPr>
        <w:pStyle w:val="Heading2"/>
      </w:pPr>
      <w:r>
        <w:rPr/>
        <w:t>CLINIQUE</w:t>
      </w:r>
    </w:p>
    <w:p>
      <w:pPr>
        <w:pStyle w:val="Heading3"/>
        <w:ind w:firstLine="708"/>
      </w:pPr>
      <w:r>
        <w:rPr/>
        <w:t>Forme typique</w:t>
      </w:r>
    </w:p>
    <w:p>
      <w:pPr>
        <w:numPr>
          <w:ilvl w:val="1"/>
          <w:numId w:val="122"/>
        </w:numPr>
      </w:pPr>
      <w:r>
        <w:rPr>
          <w:rFonts w:ascii="Times New Roman" w:hAnsi="Times New Roman"/>
        </w:rPr>
        <w:t>Début : seconde enfance</w:t>
      </w:r>
    </w:p>
    <w:p>
      <w:pPr>
        <w:numPr>
          <w:ilvl w:val="1"/>
          <w:numId w:val="122"/>
        </w:numPr>
      </w:pPr>
      <w:r>
        <w:rPr>
          <w:rFonts w:ascii="Times New Roman" w:hAnsi="Times New Roman"/>
        </w:rPr>
        <w:t>Phase de latence clinique : 2-3 ans</w:t>
      </w:r>
    </w:p>
    <w:p>
      <w:pPr>
        <w:numPr>
          <w:ilvl w:val="1"/>
          <w:numId w:val="122"/>
        </w:numPr>
      </w:pPr>
      <w:r>
        <w:rPr>
          <w:rFonts w:ascii="Times New Roman" w:hAnsi="Times New Roman"/>
        </w:rPr>
        <w:t>Installation brusque</w:t>
      </w:r>
    </w:p>
    <w:p>
      <w:pPr>
        <w:numPr>
          <w:ilvl w:val="2"/>
          <w:numId w:val="122"/>
        </w:numPr>
      </w:pPr>
      <w:r>
        <w:rPr>
          <w:rFonts w:ascii="Times New Roman" w:hAnsi="Times New Roman"/>
        </w:rPr>
        <w:t xml:space="preserve">Crise de déglobulisation </w:t>
      </w:r>
    </w:p>
    <w:p>
      <w:pPr>
        <w:numPr>
          <w:ilvl w:val="2"/>
          <w:numId w:val="122"/>
        </w:numPr>
      </w:pPr>
      <w:r>
        <w:rPr>
          <w:rFonts w:ascii="Times New Roman" w:hAnsi="Times New Roman"/>
        </w:rPr>
        <w:t>Ictère</w:t>
      </w:r>
    </w:p>
    <w:p>
      <w:pPr>
        <w:numPr>
          <w:ilvl w:val="2"/>
          <w:numId w:val="122"/>
        </w:numPr>
      </w:pPr>
      <w:r>
        <w:rPr>
          <w:rFonts w:ascii="Times New Roman" w:hAnsi="Times New Roman"/>
        </w:rPr>
        <w:t xml:space="preserve">Pâleur </w:t>
      </w:r>
    </w:p>
    <w:p>
      <w:pPr>
        <w:numPr>
          <w:ilvl w:val="2"/>
          <w:numId w:val="122"/>
        </w:numPr>
      </w:pPr>
      <w:r>
        <w:rPr>
          <w:rFonts w:ascii="Times New Roman" w:hAnsi="Times New Roman"/>
        </w:rPr>
        <w:t>Splénomégalie</w:t>
      </w:r>
    </w:p>
    <w:p>
      <w:pPr>
        <w:numPr>
          <w:ilvl w:val="1"/>
          <w:numId w:val="123"/>
        </w:numPr>
      </w:pPr>
      <w:r>
        <w:rPr>
          <w:rFonts w:ascii="Times New Roman" w:hAnsi="Times New Roman"/>
        </w:rPr>
        <w:t>Phase d'état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>Anémie très précoce, + asthénie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>Ictère : modéré + urines et selles foncées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 xml:space="preserve">Splénomégalie : parallèle à l'évolution </w:t>
      </w:r>
      <w:r>
        <w:rPr>
          <w:rFonts w:ascii="Times New Roman" w:hAnsi="Times New Roman"/>
          <w:i/>
        </w:rPr>
        <w:t>de l'anémie hémolytique</w:t>
      </w:r>
    </w:p>
    <w:p>
      <w:pPr>
        <w:pStyle w:val="Heading3"/>
        <w:ind w:firstLine="708"/>
      </w:pPr>
      <w:r>
        <w:rPr/>
        <w:t>AUTRES FORMES CLINIQUES</w:t>
      </w:r>
    </w:p>
    <w:p>
      <w:pPr>
        <w:numPr>
          <w:ilvl w:val="1"/>
          <w:numId w:val="123"/>
        </w:numPr>
      </w:pPr>
      <w:r>
        <w:rPr>
          <w:rFonts w:ascii="Times New Roman" w:hAnsi="Times New Roman"/>
        </w:rPr>
        <w:t>Formes frustres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>Passent inaperçues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>Anémie chronique et discrète splénomégalie</w:t>
      </w:r>
    </w:p>
    <w:p>
      <w:pPr>
        <w:numPr>
          <w:ilvl w:val="1"/>
          <w:numId w:val="123"/>
        </w:numPr>
      </w:pPr>
      <w:r>
        <w:rPr>
          <w:rFonts w:ascii="Times New Roman" w:hAnsi="Times New Roman"/>
        </w:rPr>
        <w:t>Formes graves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>Début précoce</w:t>
      </w:r>
    </w:p>
    <w:p>
      <w:pPr>
        <w:numPr>
          <w:ilvl w:val="3"/>
          <w:numId w:val="123"/>
        </w:numPr>
      </w:pPr>
      <w:r>
        <w:rPr>
          <w:rFonts w:ascii="Times New Roman" w:hAnsi="Times New Roman"/>
        </w:rPr>
        <w:t>Ictère nucléaire</w:t>
      </w:r>
    </w:p>
    <w:p>
      <w:pPr>
        <w:numPr>
          <w:ilvl w:val="3"/>
          <w:numId w:val="123"/>
        </w:numPr>
      </w:pPr>
      <w:r>
        <w:rPr>
          <w:rFonts w:ascii="Times New Roman" w:hAnsi="Times New Roman"/>
        </w:rPr>
        <w:t xml:space="preserve">Ictère surajouté (cytolyse majeure avec ictère rétentionnel) </w:t>
      </w:r>
    </w:p>
    <w:p>
      <w:pPr>
        <w:numPr>
          <w:ilvl w:val="1"/>
          <w:numId w:val="123"/>
        </w:numPr>
      </w:pPr>
      <w:r>
        <w:rPr>
          <w:rFonts w:ascii="Times New Roman" w:hAnsi="Times New Roman"/>
        </w:rPr>
        <w:t>Coexistence de double tare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 xml:space="preserve">Sphérocytose avec thalassémie </w:t>
      </w:r>
      <w:r>
        <w:rPr>
          <w:rFonts w:ascii="Times New Roman" w:hAnsi="Times New Roman"/>
        </w:rPr>
        <w:t>ou</w:t>
      </w:r>
    </w:p>
    <w:p>
      <w:pPr>
        <w:numPr>
          <w:ilvl w:val="2"/>
          <w:numId w:val="123"/>
        </w:numPr>
      </w:pPr>
      <w:r>
        <w:rPr>
          <w:rFonts w:ascii="Times New Roman" w:hAnsi="Times New Roman"/>
        </w:rPr>
        <w:t>Sphérocytose avec drépanocytose</w:t>
      </w:r>
    </w:p>
    <w:p>
      <w:pPr>
        <w:pStyle w:val="Heading2"/>
      </w:pPr>
      <w:r>
        <w:rPr/>
        <w:t>EXAMENS COMPLEMENTAIRES</w:t>
      </w:r>
    </w:p>
    <w:p>
      <w:pPr>
        <w:pStyle w:val="Heading3"/>
      </w:pPr>
      <w:r>
        <w:rPr/>
        <w:t>Hématologiques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Anémie normochrome modérée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 xml:space="preserve">Sphérocytose </w:t>
      </w:r>
      <w:r>
        <w:rPr>
          <w:rFonts w:ascii="Times New Roman" w:hAnsi="Times New Roman"/>
        </w:rPr>
        <w:t>constante :</w:t>
      </w:r>
    </w:p>
    <w:p>
      <w:pPr>
        <w:numPr>
          <w:ilvl w:val="2"/>
          <w:numId w:val="124"/>
        </w:numPr>
      </w:pPr>
      <w:r>
        <w:rPr>
          <w:rFonts w:ascii="Times New Roman" w:hAnsi="Times New Roman"/>
        </w:rPr>
        <w:t>=L'anomalie de la membrane va toucher 10-30% des hématies</w:t>
      </w:r>
    </w:p>
    <w:p>
      <w:pPr>
        <w:numPr>
          <w:ilvl w:val="2"/>
          <w:numId w:val="124"/>
        </w:numPr>
      </w:pPr>
      <w:r>
        <w:rPr>
          <w:rFonts w:ascii="Times New Roman" w:hAnsi="Times New Roman"/>
        </w:rPr>
        <w:t>Coloration homogène sur lame, diamètre inférieur, épaisseur augmentée mais VGM normal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Réticulocytose importante avec érythroblastose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 xml:space="preserve">Fragilité globulaire constante : résistance osmotique très basse ; aux solutions hypotoniques, hémolyse initiale précoce (0,6% détruits) et hémolyse terminale normale </w:t>
      </w:r>
      <w:r>
        <w:rPr>
          <w:rFonts w:ascii="Times New Roman" w:hAnsi="Times New Roman"/>
          <w:i/>
        </w:rPr>
        <w:t xml:space="preserve">1h07 (au moins 0,6% GR </w:t>
      </w:r>
      <w:r>
        <w:rPr>
          <w:rFonts w:ascii="Times New Roman" w:hAnsi="Times New Roman"/>
          <w:i/>
        </w:rPr>
        <w:t>potika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aloha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Signes d'hémolyse : fer, saturation de la transferrine et bilirubine libre élevées, durée de vie diminuée</w:t>
      </w:r>
    </w:p>
    <w:p>
      <w:pPr>
        <w:pStyle w:val="Heading3"/>
      </w:pPr>
      <w:r>
        <w:rPr/>
        <w:t>Examens hématologiques négatifs :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Electrophorèse de l'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normale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Antiérythrocytaires</w:t>
      </w:r>
      <w:r>
        <w:rPr>
          <w:rFonts w:ascii="Times New Roman" w:hAnsi="Times New Roman"/>
        </w:rPr>
        <w:t xml:space="preserve"> négatifs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Leucocytes et plaquettes normaux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Hémostase normale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Moëlle érythroblastique</w:t>
      </w:r>
    </w:p>
    <w:p>
      <w:pPr>
        <w:pStyle w:val="Heading3"/>
      </w:pPr>
      <w:r>
        <w:rPr/>
        <w:t>Examens hépatiques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Au départ : Négatifs en dehors de complications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 xml:space="preserve">À la </w:t>
      </w:r>
      <w:r>
        <w:rPr>
          <w:rFonts w:ascii="Times New Roman" w:hAnsi="Times New Roman"/>
        </w:rPr>
        <w:t>longue :</w:t>
      </w:r>
    </w:p>
    <w:p>
      <w:pPr>
        <w:numPr>
          <w:ilvl w:val="2"/>
          <w:numId w:val="124"/>
        </w:numPr>
      </w:pPr>
      <w:r>
        <w:rPr>
          <w:rFonts w:ascii="Times New Roman" w:hAnsi="Times New Roman"/>
        </w:rPr>
        <w:t>Atteinte hépato-cellulaire</w:t>
      </w:r>
    </w:p>
    <w:p>
      <w:pPr>
        <w:numPr>
          <w:ilvl w:val="2"/>
          <w:numId w:val="124"/>
        </w:numPr>
      </w:pPr>
      <w:r>
        <w:rPr>
          <w:rFonts w:ascii="Times New Roman" w:hAnsi="Times New Roman"/>
        </w:rPr>
        <w:t>Avec rétention biliaire</w:t>
      </w:r>
    </w:p>
    <w:p>
      <w:pPr>
        <w:pStyle w:val="Heading3"/>
      </w:pPr>
      <w:r>
        <w:rPr/>
        <w:t>Radiologiques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 xml:space="preserve">Crâne : Epaississement du </w:t>
      </w:r>
      <w:r>
        <w:rPr>
          <w:rFonts w:ascii="Times New Roman" w:hAnsi="Times New Roman"/>
        </w:rPr>
        <w:t>diploë</w:t>
      </w:r>
      <w:r>
        <w:rPr>
          <w:rFonts w:ascii="Times New Roman" w:hAnsi="Times New Roman"/>
        </w:rPr>
        <w:t xml:space="preserve"> (aspect en poil de brosse de la face externe de l'os du crane) </w:t>
      </w:r>
    </w:p>
    <w:p>
      <w:pPr>
        <w:pStyle w:val="Heading3"/>
      </w:pPr>
      <w:r>
        <w:rPr/>
        <w:t>Echographie abdominale</w:t>
      </w:r>
    </w:p>
    <w:p>
      <w:pPr>
        <w:numPr>
          <w:ilvl w:val="1"/>
          <w:numId w:val="124"/>
        </w:numPr>
      </w:pPr>
      <w:r>
        <w:rPr>
          <w:rFonts w:ascii="Times New Roman" w:hAnsi="Times New Roman"/>
        </w:rPr>
        <w:t>Vésicule biliaire : lithiase biliaire</w:t>
      </w:r>
    </w:p>
    <w:p>
      <w:pPr>
        <w:pStyle w:val="Heading2"/>
      </w:pPr>
      <w:r>
        <w:rPr/>
        <w:t>EVOLUTION</w:t>
      </w:r>
    </w:p>
    <w:p>
      <w:pPr>
        <w:numPr>
          <w:ilvl w:val="0"/>
          <w:numId w:val="125"/>
        </w:numPr>
      </w:pPr>
      <w:r>
        <w:rPr>
          <w:rFonts w:ascii="Times New Roman" w:hAnsi="Times New Roman"/>
        </w:rPr>
        <w:t>Poussées successives</w:t>
      </w:r>
    </w:p>
    <w:p>
      <w:pPr>
        <w:numPr>
          <w:ilvl w:val="0"/>
          <w:numId w:val="125"/>
        </w:numPr>
      </w:pPr>
      <w:r>
        <w:rPr>
          <w:rFonts w:ascii="Times New Roman" w:hAnsi="Times New Roman"/>
        </w:rPr>
        <w:t>Importante atteinte de l'état général</w:t>
      </w:r>
    </w:p>
    <w:p>
      <w:pPr>
        <w:numPr>
          <w:ilvl w:val="1"/>
          <w:numId w:val="125"/>
        </w:numPr>
      </w:pPr>
      <w:r>
        <w:rPr>
          <w:rFonts w:ascii="Times New Roman" w:hAnsi="Times New Roman"/>
        </w:rPr>
        <w:t>Syndrome douloureux</w:t>
      </w:r>
    </w:p>
    <w:p>
      <w:pPr>
        <w:numPr>
          <w:ilvl w:val="1"/>
          <w:numId w:val="125"/>
        </w:numPr>
      </w:pPr>
      <w:r>
        <w:rPr>
          <w:rFonts w:ascii="Times New Roman" w:hAnsi="Times New Roman"/>
        </w:rPr>
        <w:t>Poussée anémique et ictérique</w:t>
      </w:r>
    </w:p>
    <w:p>
      <w:pPr>
        <w:numPr>
          <w:ilvl w:val="0"/>
          <w:numId w:val="125"/>
        </w:numPr>
      </w:pPr>
      <w:r>
        <w:rPr>
          <w:rFonts w:ascii="Times New Roman" w:hAnsi="Times New Roman"/>
        </w:rPr>
        <w:t>Complications</w:t>
      </w:r>
    </w:p>
    <w:p>
      <w:pPr>
        <w:numPr>
          <w:ilvl w:val="1"/>
          <w:numId w:val="125"/>
        </w:numPr>
      </w:pPr>
      <w:r>
        <w:rPr>
          <w:rFonts w:ascii="Times New Roman" w:hAnsi="Times New Roman"/>
        </w:rPr>
        <w:t>Hépatobiliaires</w:t>
      </w:r>
    </w:p>
    <w:p>
      <w:pPr>
        <w:numPr>
          <w:ilvl w:val="1"/>
          <w:numId w:val="125"/>
        </w:numPr>
      </w:pPr>
      <w:r>
        <w:rPr>
          <w:rFonts w:ascii="Times New Roman" w:hAnsi="Times New Roman"/>
        </w:rPr>
        <w:t xml:space="preserve">Dysmorphisme (crânien) </w:t>
      </w:r>
    </w:p>
    <w:p>
      <w:pPr>
        <w:numPr>
          <w:ilvl w:val="1"/>
          <w:numId w:val="125"/>
        </w:numPr>
      </w:pPr>
      <w:r>
        <w:rPr>
          <w:rFonts w:ascii="Times New Roman" w:hAnsi="Times New Roman"/>
        </w:rPr>
        <w:t>Ulcérations de jambe</w:t>
      </w:r>
    </w:p>
    <w:p>
      <w:pPr>
        <w:numPr>
          <w:ilvl w:val="1"/>
          <w:numId w:val="125"/>
        </w:numPr>
      </w:pPr>
      <w:r>
        <w:rPr>
          <w:rFonts w:ascii="Times New Roman" w:hAnsi="Times New Roman"/>
        </w:rPr>
        <w:t>Insuffisance médullaire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126"/>
        </w:numPr>
      </w:pPr>
      <w:r>
        <w:rPr>
          <w:rFonts w:ascii="Times New Roman" w:hAnsi="Times New Roman"/>
        </w:rPr>
        <w:t>Splénectomie avec toutes les lobes accessoires</w:t>
      </w:r>
    </w:p>
    <w:p>
      <w:pPr>
        <w:numPr>
          <w:ilvl w:val="0"/>
          <w:numId w:val="126"/>
        </w:numPr>
      </w:pPr>
      <w:r>
        <w:rPr>
          <w:rFonts w:ascii="Times New Roman" w:hAnsi="Times New Roman"/>
        </w:rPr>
        <w:t xml:space="preserve">Si lithiases biliaires : </w:t>
      </w:r>
      <w:r>
        <w:rPr>
          <w:rFonts w:ascii="Times New Roman" w:hAnsi="Times New Roman"/>
        </w:rPr>
        <w:t>cholecystectomie</w:t>
      </w:r>
    </w:p>
    <w:p>
      <w:pPr>
        <w:numPr>
          <w:ilvl w:val="0"/>
          <w:numId w:val="126"/>
        </w:numPr>
      </w:pPr>
      <w:r>
        <w:rPr>
          <w:rFonts w:ascii="Times New Roman" w:hAnsi="Times New Roman"/>
        </w:rPr>
        <w:t>Si possible : attendre l'âge de 10 ans avant de faire la splénectomie</w:t>
      </w:r>
    </w:p>
    <w:p>
      <w:pPr>
        <w:numPr>
          <w:ilvl w:val="1"/>
          <w:numId w:val="126"/>
        </w:numPr>
      </w:pPr>
      <w:r>
        <w:rPr>
          <w:rFonts w:ascii="Times New Roman" w:hAnsi="Times New Roman"/>
        </w:rPr>
        <w:t>Pour éviter les complications infectieuses de l'enfant</w:t>
      </w:r>
    </w:p>
    <w:p>
      <w:pPr>
        <w:numPr>
          <w:ilvl w:val="1"/>
          <w:numId w:val="126"/>
        </w:numPr>
      </w:pPr>
      <w:r>
        <w:rPr>
          <w:rFonts w:ascii="Times New Roman" w:hAnsi="Times New Roman"/>
        </w:rPr>
        <w:t>+ cures de corticoïdes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