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THALASSÉMIES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</w:t>
      </w:r>
    </w:p>
    <w:p>
      <w:pPr>
        <w:numPr>
          <w:ilvl w:val="0"/>
          <w:numId w:val="108"/>
        </w:numPr>
      </w:pPr>
      <w:r>
        <w:rPr>
          <w:rFonts w:ascii="Times New Roman" w:hAnsi="Times New Roman"/>
        </w:rPr>
        <w:t xml:space="preserve">Maladie hémolytique congénitale (anémie hémolytique congénitale) </w:t>
      </w:r>
    </w:p>
    <w:p>
      <w:pPr>
        <w:numPr>
          <w:ilvl w:val="0"/>
          <w:numId w:val="108"/>
        </w:numPr>
      </w:pPr>
      <w:r>
        <w:rPr/>
        <w:t>Anomalie de gène de régulation</w:t>
      </w:r>
    </w:p>
    <w:p>
      <w:pPr>
        <w:numPr>
          <w:ilvl w:val="0"/>
          <w:numId w:val="108"/>
        </w:numPr>
      </w:pPr>
      <w:r>
        <w:rPr/>
        <w:t>Anomalie de production de l'</w:t>
      </w:r>
      <w:r>
        <w:rPr/>
        <w:t>Hb</w:t>
      </w:r>
    </w:p>
    <w:p>
      <w:pPr>
        <w:numPr>
          <w:ilvl w:val="1"/>
          <w:numId w:val="108"/>
        </w:numPr>
      </w:pPr>
      <w:r>
        <w:rPr/>
        <w:t xml:space="preserve">Inhibition de la synthèse des chaînes polypeptidiques dans la globine (Béta, alpha, delta) </w:t>
      </w:r>
    </w:p>
    <w:p>
      <w:pPr>
        <w:numPr>
          <w:ilvl w:val="1"/>
          <w:numId w:val="108"/>
        </w:numPr>
      </w:pPr>
      <w:r>
        <w:rPr/>
        <w:t xml:space="preserve">Excès de synthèse des autres chaînes normales de compensation </w:t>
      </w:r>
    </w:p>
    <w:p>
      <w:pPr>
        <w:numPr>
          <w:ilvl w:val="1"/>
          <w:numId w:val="108"/>
        </w:numPr>
      </w:pPr>
      <w:r>
        <w:rPr/>
        <w:t>Eeeeeee</w:t>
      </w:r>
    </w:p>
    <w:p>
      <w:pPr>
        <w:numPr>
          <w:ilvl w:val="2"/>
          <w:numId w:val="108"/>
        </w:numPr>
      </w:pPr>
      <w:r>
        <w:rPr/>
        <w:t>Fragilisitation</w:t>
      </w:r>
      <w:r>
        <w:rPr/>
        <w:t xml:space="preserve"> des hématies-</w:t>
      </w:r>
      <w:r>
        <w:rPr>
          <w:rFonts w:ascii="Symbol" w:hAnsi="Symbol"/>
        </w:rPr>
      </w:r>
      <w:r>
        <w:rPr/>
        <w:t>Hémolyse</w:t>
      </w:r>
    </w:p>
    <w:p>
      <w:pPr/>
    </w:p>
    <w:p>
      <w:pPr>
        <w:pStyle w:val="Heading3"/>
      </w:pPr>
      <w:r>
        <w:rPr/>
        <w:t>TYPES</w:t>
      </w:r>
    </w:p>
    <w:p>
      <w:pPr>
        <w:numPr>
          <w:ilvl w:val="1"/>
          <w:numId w:val="109"/>
        </w:numPr>
      </w:pPr>
      <w:r>
        <w:rPr>
          <w:rFonts w:ascii="Times New Roman" w:hAnsi="Times New Roman"/>
        </w:rPr>
        <w:t>Beta thalassémie</w:t>
      </w:r>
    </w:p>
    <w:p>
      <w:pPr>
        <w:numPr>
          <w:ilvl w:val="2"/>
          <w:numId w:val="109"/>
        </w:numPr>
      </w:pPr>
      <w:r>
        <w:rPr>
          <w:rFonts w:ascii="Times New Roman" w:hAnsi="Times New Roman"/>
        </w:rPr>
        <w:t>Diminution des chaînes beta (baisse de sécrétion de HbA</w:t>
      </w:r>
    </w:p>
    <w:p>
      <w:pPr>
        <w:numPr>
          <w:ilvl w:val="2"/>
          <w:numId w:val="109"/>
        </w:numPr>
      </w:pPr>
      <w:r>
        <w:rPr>
          <w:rFonts w:ascii="Times New Roman" w:hAnsi="Times New Roman"/>
        </w:rPr>
        <w:t xml:space="preserve">Compensation par excès de chaîne delta (excès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12</w:t>
      </w:r>
    </w:p>
    <w:p>
      <w:pPr>
        <w:numPr>
          <w:ilvl w:val="1"/>
          <w:numId w:val="109"/>
        </w:numPr>
      </w:pPr>
      <w:r>
        <w:rPr>
          <w:rFonts w:ascii="Times New Roman" w:hAnsi="Times New Roman"/>
        </w:rPr>
        <w:t>Alpha thalassémie</w:t>
      </w:r>
    </w:p>
    <w:p>
      <w:pPr>
        <w:numPr>
          <w:ilvl w:val="2"/>
          <w:numId w:val="109"/>
        </w:numPr>
      </w:pPr>
      <w:r>
        <w:rPr>
          <w:rFonts w:ascii="Times New Roman" w:hAnsi="Times New Roman"/>
        </w:rPr>
        <w:t>Pas de chaîne alpha (absence d'HbA ni A2 ni F</w:t>
      </w:r>
    </w:p>
    <w:p>
      <w:pPr>
        <w:numPr>
          <w:ilvl w:val="2"/>
          <w:numId w:val="109"/>
        </w:numPr>
      </w:pPr>
      <w:r>
        <w:rPr>
          <w:rFonts w:ascii="Times New Roman" w:hAnsi="Times New Roman"/>
        </w:rPr>
        <w:t xml:space="preserve">Gamma 4 à la naissance, delta 4 à l'âge adulte </w:t>
      </w:r>
    </w:p>
    <w:p>
      <w:pPr/>
    </w:p>
    <w:p>
      <w:pPr>
        <w:pStyle w:val="Heading3"/>
      </w:pPr>
      <w:r>
        <w:rPr/>
        <w:t>GENETIQUE</w:t>
      </w:r>
    </w:p>
    <w:p>
      <w:pPr>
        <w:numPr>
          <w:ilvl w:val="0"/>
          <w:numId w:val="110"/>
        </w:numPr>
      </w:pPr>
      <w:r>
        <w:rPr>
          <w:rFonts w:ascii="Times New Roman" w:hAnsi="Times New Roman"/>
        </w:rPr>
        <w:t>Transmission autosomique dominant</w:t>
      </w:r>
    </w:p>
    <w:p>
      <w:pPr>
        <w:numPr>
          <w:ilvl w:val="1"/>
          <w:numId w:val="110"/>
        </w:numPr>
      </w:pPr>
      <w:r>
        <w:rPr>
          <w:rFonts w:ascii="Times New Roman" w:hAnsi="Times New Roman"/>
        </w:rPr>
        <w:t>Homozygote béta : thalassémie majeure ou maladie de Cooley</w:t>
      </w:r>
    </w:p>
    <w:p>
      <w:pPr>
        <w:numPr>
          <w:ilvl w:val="1"/>
          <w:numId w:val="110"/>
        </w:numPr>
      </w:pPr>
      <w:r>
        <w:rPr>
          <w:rFonts w:ascii="Times New Roman" w:hAnsi="Times New Roman"/>
          <w:b/>
        </w:rPr>
        <w:t>Hétérozygot</w:t>
      </w:r>
      <w:r>
        <w:rPr>
          <w:rFonts w:ascii="Times New Roman" w:hAnsi="Times New Roman"/>
        </w:rPr>
        <w:t xml:space="preserve">e béta : thalassémie </w:t>
      </w:r>
      <w:r>
        <w:rPr>
          <w:rFonts w:ascii="Times New Roman" w:hAnsi="Times New Roman"/>
          <w:b/>
        </w:rPr>
        <w:t>mineure</w:t>
      </w:r>
      <w:r>
        <w:rPr>
          <w:rFonts w:ascii="Times New Roman" w:hAnsi="Times New Roman"/>
        </w:rPr>
        <w:t xml:space="preserve"> ou minime</w:t>
      </w:r>
    </w:p>
    <w:p>
      <w:pPr>
        <w:numPr>
          <w:ilvl w:val="1"/>
          <w:numId w:val="110"/>
        </w:numPr>
      </w:pPr>
      <w:r>
        <w:rPr>
          <w:rFonts w:ascii="Times New Roman" w:hAnsi="Times New Roman"/>
        </w:rPr>
        <w:t>Homozygote alpha : gêne létale</w:t>
      </w:r>
    </w:p>
    <w:p>
      <w:pPr>
        <w:numPr>
          <w:ilvl w:val="1"/>
          <w:numId w:val="110"/>
        </w:numPr>
      </w:pPr>
      <w:r>
        <w:rPr>
          <w:rFonts w:ascii="Times New Roman" w:hAnsi="Times New Roman"/>
          <w:b/>
        </w:rPr>
        <w:t>Hétérozygote</w:t>
      </w:r>
      <w:r>
        <w:rPr>
          <w:rFonts w:ascii="Times New Roman" w:hAnsi="Times New Roman"/>
        </w:rPr>
        <w:t xml:space="preserve"> alpha : thalassémie </w:t>
      </w:r>
      <w:r>
        <w:rPr>
          <w:rFonts w:ascii="Times New Roman" w:hAnsi="Times New Roman"/>
          <w:b/>
        </w:rPr>
        <w:t>mineure</w:t>
      </w:r>
    </w:p>
    <w:p>
      <w:pPr/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TDD : BÉTA THALASSÉMIE MAJEURE : Maladie de Cooley</w:t>
      </w:r>
    </w:p>
    <w:p>
      <w:pPr>
        <w:numPr>
          <w:ilvl w:val="1"/>
          <w:numId w:val="111"/>
        </w:numPr>
      </w:pPr>
      <w:r>
        <w:rPr>
          <w:rFonts w:ascii="Times New Roman" w:hAnsi="Times New Roman"/>
        </w:rPr>
        <w:t>Début:</w:t>
      </w:r>
      <w:r>
        <w:rPr>
          <w:rFonts w:ascii="Times New Roman" w:hAnsi="Times New Roman"/>
        </w:rPr>
        <w:t xml:space="preserve"> précoce (nourrisson), progressif</w:t>
      </w:r>
    </w:p>
    <w:p>
      <w:pPr>
        <w:numPr>
          <w:ilvl w:val="2"/>
          <w:numId w:val="111"/>
        </w:numPr>
      </w:pPr>
      <w:r>
        <w:rPr>
          <w:rFonts w:ascii="Times New Roman" w:hAnsi="Times New Roman"/>
        </w:rPr>
        <w:t>Syndrome anémique</w:t>
      </w:r>
    </w:p>
    <w:p>
      <w:pPr>
        <w:numPr>
          <w:ilvl w:val="2"/>
          <w:numId w:val="111"/>
        </w:numPr>
      </w:pPr>
      <w:r>
        <w:rPr>
          <w:rFonts w:ascii="Times New Roman" w:hAnsi="Times New Roman"/>
        </w:rPr>
        <w:t>Augmentation de volume de l'abdomen</w:t>
      </w:r>
    </w:p>
    <w:p>
      <w:pPr/>
    </w:p>
    <w:p>
      <w:pPr>
        <w:numPr>
          <w:ilvl w:val="0"/>
          <w:numId w:val="112"/>
        </w:numPr>
      </w:pPr>
      <w:r>
        <w:rPr>
          <w:rFonts w:ascii="Times New Roman" w:hAnsi="Times New Roman"/>
          <w:b/>
        </w:rPr>
        <w:t>Sans transfusion sanguine</w:t>
      </w:r>
      <w:r>
        <w:rPr>
          <w:rFonts w:ascii="Times New Roman" w:hAnsi="Times New Roman"/>
        </w:rPr>
        <w:t xml:space="preserve"> (si n'en n'a pas besoin) 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 xml:space="preserve">Période d'état en 1 à 2 ans avec un </w:t>
      </w:r>
      <w:r>
        <w:rPr>
          <w:rFonts w:ascii="Times New Roman" w:hAnsi="Times New Roman"/>
          <w:b/>
        </w:rPr>
        <w:t>tableau caractéristique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>Troubles trophiques : petite taille, grosse tête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 xml:space="preserve">Anémie : pâleur, asthénie, </w:t>
      </w:r>
      <w:r>
        <w:rPr>
          <w:rFonts w:ascii="Times New Roman" w:hAnsi="Times New Roman"/>
        </w:rPr>
        <w:t>subictère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>Augmentation de volume de l'abdomen = Splénomégalie et parfois hépatomégalie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 xml:space="preserve">Evolution paroxystique par poussées 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Evolution grave : crises plus fréquentes et plus graves (</w:t>
      </w:r>
      <w:r>
        <w:rPr>
          <w:rFonts w:ascii="Times New Roman" w:hAnsi="Times New Roman"/>
          <w:i/>
        </w:rPr>
        <w:t xml:space="preserve">anémie hémolytique qui va aggraver la splénomégalie et l'hépatomégalie) 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>COMPLICATIONS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Crises hémolytiques suraiguës 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excacerbation</w:t>
      </w:r>
      <w:r>
        <w:rPr>
          <w:rFonts w:ascii="Times New Roman" w:hAnsi="Times New Roman"/>
          <w:i/>
        </w:rPr>
        <w:t xml:space="preserve"> et aggravation de l'anémie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 xml:space="preserve">Surinfection grave : </w:t>
      </w:r>
      <w:r>
        <w:rPr>
          <w:rFonts w:ascii="Times New Roman" w:hAnsi="Times New Roman"/>
        </w:rPr>
        <w:t>infection intercurrente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 xml:space="preserve">Anoxie viscérale (cérébrale, myocardique) 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Aplasie médullaire terminale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Pouvant être cause de décès dans l'évolution fatale en moins de 10 ans</w:t>
      </w:r>
    </w:p>
    <w:p>
      <w:pPr>
        <w:numPr>
          <w:ilvl w:val="0"/>
          <w:numId w:val="112"/>
        </w:numPr>
      </w:pPr>
      <w:r>
        <w:rPr>
          <w:rFonts w:ascii="Times New Roman" w:hAnsi="Times New Roman"/>
          <w:b/>
        </w:rPr>
        <w:t>Si transfusions suffisantes mais non contrôlées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Stables, asymptomatiques jusqu'à 10 ans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Puis, signes d'hémochromatose secondaire (</w:t>
      </w:r>
      <w:r>
        <w:rPr>
          <w:rFonts w:ascii="Times New Roman" w:hAnsi="Times New Roman"/>
          <w:i/>
        </w:rPr>
        <w:t xml:space="preserve">Hémolyse, 250mg Fe par 100ml de GR) 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>À l'origine de dysfonctionnement hépatique voire cirrhose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>Insuffisance cardiaque</w:t>
      </w:r>
    </w:p>
    <w:p>
      <w:pPr>
        <w:numPr>
          <w:ilvl w:val="2"/>
          <w:numId w:val="112"/>
        </w:numPr>
      </w:pPr>
      <w:r>
        <w:rPr>
          <w:rFonts w:ascii="Times New Roman" w:hAnsi="Times New Roman"/>
        </w:rPr>
        <w:t xml:space="preserve">Troubles endocriniens : retard pubertaire, diabète, hypopituitarisme </w:t>
      </w:r>
    </w:p>
    <w:p>
      <w:pPr>
        <w:numPr>
          <w:ilvl w:val="3"/>
          <w:numId w:val="112"/>
        </w:numPr>
      </w:pPr>
      <w:r>
        <w:rPr>
          <w:rFonts w:ascii="Times New Roman" w:hAnsi="Times New Roman"/>
        </w:rPr>
        <w:t>Responsable de morbidité et mortalité élevée chez l'adolescent et adulte</w:t>
      </w:r>
    </w:p>
    <w:p>
      <w:pPr>
        <w:numPr>
          <w:ilvl w:val="0"/>
          <w:numId w:val="112"/>
        </w:numPr>
      </w:pPr>
      <w:r>
        <w:rPr>
          <w:rFonts w:ascii="Times New Roman" w:hAnsi="Times New Roman"/>
          <w:b/>
        </w:rPr>
        <w:t>Avec chélation du fer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Surcharge martiale évitée</w:t>
      </w:r>
    </w:p>
    <w:p>
      <w:pPr>
        <w:numPr>
          <w:ilvl w:val="1"/>
          <w:numId w:val="112"/>
        </w:numPr>
      </w:pPr>
      <w:r>
        <w:rPr>
          <w:rFonts w:ascii="Times New Roman" w:hAnsi="Times New Roman"/>
        </w:rPr>
        <w:t>Possibilité de traitement radical ultérieur (greffe médullaire) (</w:t>
      </w:r>
      <w:r>
        <w:rPr>
          <w:rFonts w:ascii="Times New Roman" w:hAnsi="Times New Roman"/>
          <w:i/>
        </w:rPr>
        <w:t xml:space="preserve">support transfusionnel bien contrôlé + chélateurs de fer) </w:t>
      </w:r>
    </w:p>
    <w:p>
      <w:pPr>
        <w:pStyle w:val="Heading3"/>
      </w:pPr>
      <w:r>
        <w:rPr/>
        <w:t>FORMES CLINIQUES</w:t>
      </w:r>
    </w:p>
    <w:p>
      <w:pPr>
        <w:numPr>
          <w:ilvl w:val="1"/>
          <w:numId w:val="113"/>
        </w:numPr>
      </w:pPr>
      <w:r>
        <w:rPr>
          <w:rFonts w:ascii="Times New Roman" w:hAnsi="Times New Roman"/>
          <w:b/>
        </w:rPr>
        <w:t>Beta thalassémie mineure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>Bien supportée, bon pronostic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 xml:space="preserve">Etat </w:t>
      </w:r>
      <w:r>
        <w:rPr>
          <w:rFonts w:ascii="Times New Roman" w:hAnsi="Times New Roman"/>
        </w:rPr>
        <w:t>subanémique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>Pronostic amélioré par la splénectomie</w:t>
      </w:r>
    </w:p>
    <w:p>
      <w:pPr>
        <w:numPr>
          <w:ilvl w:val="1"/>
          <w:numId w:val="113"/>
        </w:numPr>
      </w:pPr>
      <w:r>
        <w:rPr>
          <w:rFonts w:ascii="Times New Roman" w:hAnsi="Times New Roman"/>
          <w:b/>
        </w:rPr>
        <w:t>Alpha thalassémie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 xml:space="preserve">Thalassémie mineure avec un </w:t>
      </w:r>
      <w:r>
        <w:rPr>
          <w:rFonts w:ascii="Times New Roman" w:hAnsi="Times New Roman"/>
          <w:i/>
        </w:rPr>
        <w:t>état anémique bien toléré amélioré par la splénectomie</w:t>
      </w:r>
    </w:p>
    <w:p>
      <w:pPr>
        <w:numPr>
          <w:ilvl w:val="1"/>
          <w:numId w:val="113"/>
        </w:numPr>
      </w:pPr>
      <w:r>
        <w:rPr>
          <w:rFonts w:ascii="Times New Roman" w:hAnsi="Times New Roman"/>
          <w:b/>
        </w:rPr>
        <w:t>Thalasso-drépanocytose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 xml:space="preserve">Double hétérozygotie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 xml:space="preserve"> le</w:t>
      </w:r>
      <w:r>
        <w:rPr>
          <w:rFonts w:ascii="Times New Roman" w:hAnsi="Times New Roman"/>
          <w:i/>
        </w:rPr>
        <w:t xml:space="preserve"> plus souvent Beta thalassémie) 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>Manifestations cliniques en faveur de la drépanocytose avec les complications</w:t>
      </w:r>
    </w:p>
    <w:p>
      <w:pPr>
        <w:numPr>
          <w:ilvl w:val="2"/>
          <w:numId w:val="113"/>
        </w:numPr>
      </w:pPr>
      <w:r>
        <w:rPr>
          <w:rFonts w:ascii="Times New Roman" w:hAnsi="Times New Roman"/>
        </w:rPr>
        <w:t>Accentuation de la drépanocytose</w:t>
      </w:r>
    </w:p>
    <w:p>
      <w:pPr/>
    </w:p>
    <w:p>
      <w:pPr>
        <w:pStyle w:val="Heading2"/>
      </w:pPr>
      <w:r>
        <w:rPr/>
        <w:t>ETUDE BIOLOGIQUE</w:t>
      </w:r>
    </w:p>
    <w:p>
      <w:pPr>
        <w:pStyle w:val="Heading3"/>
      </w:pPr>
      <w:r>
        <w:rPr/>
        <w:t>Beta thalassémie homozygote</w:t>
      </w:r>
    </w:p>
    <w:p>
      <w:pPr>
        <w:pStyle w:val="Heading4"/>
      </w:pPr>
      <w:r>
        <w:rPr/>
        <w:t xml:space="preserve">Sang 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Anémie hypochrome microcytaire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 xml:space="preserve">Cellules cibles, anisocytose, </w:t>
      </w:r>
      <w:r>
        <w:rPr>
          <w:rFonts w:ascii="Times New Roman" w:hAnsi="Times New Roman"/>
        </w:rPr>
        <w:t>poïkilocytose</w:t>
      </w:r>
      <w:r>
        <w:rPr>
          <w:rFonts w:ascii="Times New Roman" w:hAnsi="Times New Roman"/>
        </w:rPr>
        <w:t xml:space="preserve">, érythroblastose </w:t>
      </w:r>
      <w:r>
        <w:rPr>
          <w:rFonts w:ascii="Times New Roman" w:hAnsi="Times New Roman"/>
        </w:rPr>
        <w:t>compensationnel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Résistance osmotique membranaire normale ou un peu augmentée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Hyperleucocytose discrète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 xml:space="preserve">Signes d'hémolyse : augmentation du fer, bilirubine, réticulocytes, </w:t>
      </w:r>
      <w:r>
        <w:rPr>
          <w:rFonts w:ascii="Times New Roman" w:hAnsi="Times New Roman"/>
          <w:i/>
        </w:rPr>
        <w:t>haptoglobine effondrée</w:t>
      </w:r>
    </w:p>
    <w:p>
      <w:pPr>
        <w:pStyle w:val="Heading4"/>
      </w:pPr>
      <w:r>
        <w:rPr/>
        <w:t>Moëlle osseuse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Importante réaction érythroblastique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Blocage au niveau des érythroblastes basophiles (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tonga érythrocytes) </w:t>
      </w:r>
    </w:p>
    <w:p>
      <w:pPr>
        <w:pStyle w:val="Heading4"/>
      </w:pPr>
      <w:r>
        <w:rPr/>
        <w:t>Etude de l'hémoglobine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Augmentation de l'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F (jusqu'à 100%) </w:t>
      </w:r>
      <w:r>
        <w:rPr>
          <w:rFonts w:ascii="Times New Roman" w:hAnsi="Times New Roman"/>
          <w:i/>
        </w:rPr>
        <w:t>même chez l'adulte</w:t>
      </w:r>
    </w:p>
    <w:p>
      <w:pPr>
        <w:pStyle w:val="Heading3"/>
      </w:pPr>
      <w:r>
        <w:rPr/>
        <w:t>Beta thalassémies hétérozygotes</w:t>
      </w:r>
    </w:p>
    <w:p>
      <w:pPr>
        <w:pStyle w:val="Heading4"/>
      </w:pPr>
      <w:r>
        <w:rPr/>
        <w:t>Selon l'hémogramme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  <w:b/>
        </w:rPr>
        <w:t xml:space="preserve">Forme </w:t>
      </w:r>
      <w:r>
        <w:rPr>
          <w:rFonts w:ascii="Times New Roman" w:hAnsi="Times New Roman"/>
          <w:b/>
        </w:rPr>
        <w:t>polyglobulique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 xml:space="preserve">Microcytose, hypochromie, </w:t>
      </w:r>
      <w:r>
        <w:rPr>
          <w:rFonts w:ascii="Times New Roman" w:hAnsi="Times New Roman"/>
        </w:rPr>
        <w:t>anisopoïkilocytose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Cellules cibles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Masse globulaire normale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  <w:b/>
        </w:rPr>
        <w:t>Forme anémique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Anémie hypochrome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Cellules cibles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Hémolyse franche</w:t>
      </w:r>
    </w:p>
    <w:p>
      <w:pPr>
        <w:pStyle w:val="Heading4"/>
      </w:pPr>
      <w:r>
        <w:rPr/>
        <w:t>Selon l'électrophorèse de l'</w:t>
      </w:r>
      <w:r>
        <w:rPr/>
        <w:t>Hb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  <w:b/>
        </w:rPr>
        <w:t>Type A2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 xml:space="preserve">Augmentation HbA2 (10-15%) 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 xml:space="preserve">Augmentation discrète de </w:t>
      </w:r>
      <w:r>
        <w:rPr>
          <w:rFonts w:ascii="Times New Roman" w:hAnsi="Times New Roman"/>
        </w:rPr>
        <w:t xml:space="preserve">l' </w:t>
      </w:r>
      <w:r>
        <w:rPr>
          <w:rFonts w:ascii="Times New Roman" w:hAnsi="Times New Roman"/>
        </w:rPr>
        <w:t>HbF</w:t>
      </w:r>
      <w:r>
        <w:rPr>
          <w:rFonts w:ascii="Times New Roman" w:hAnsi="Times New Roman"/>
        </w:rPr>
        <w:t xml:space="preserve"> (2-5%) 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Diminution de l'HbA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  <w:b/>
        </w:rPr>
        <w:t>Type F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Augmentation de l'</w:t>
      </w:r>
      <w:r>
        <w:rPr>
          <w:rFonts w:ascii="Times New Roman" w:hAnsi="Times New Roman"/>
        </w:rPr>
        <w:t>HbF</w:t>
      </w:r>
      <w:r>
        <w:rPr>
          <w:rFonts w:ascii="Times New Roman" w:hAnsi="Times New Roman"/>
        </w:rPr>
        <w:t xml:space="preserve"> (7-8%) 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Diminution de l'HbA</w:t>
      </w:r>
    </w:p>
    <w:p>
      <w:pPr>
        <w:numPr>
          <w:ilvl w:val="3"/>
          <w:numId w:val="114"/>
        </w:numPr>
      </w:pPr>
      <w:r>
        <w:rPr>
          <w:rFonts w:ascii="Times New Roman" w:hAnsi="Times New Roman"/>
        </w:rPr>
        <w:t>HbA2 normale</w:t>
      </w:r>
    </w:p>
    <w:p>
      <w:pPr>
        <w:pStyle w:val="Heading3"/>
      </w:pPr>
      <w:r>
        <w:rPr/>
        <w:t xml:space="preserve">Hétérozygotie </w:t>
      </w:r>
      <w:r>
        <w:rPr/>
        <w:t>alpha thalassémique</w:t>
      </w:r>
    </w:p>
    <w:p>
      <w:pPr>
        <w:numPr>
          <w:ilvl w:val="1"/>
          <w:numId w:val="114"/>
        </w:numPr>
      </w:pPr>
      <w:r>
        <w:rPr>
          <w:rFonts w:ascii="Times New Roman" w:hAnsi="Times New Roman"/>
        </w:rPr>
        <w:t>Signes hémolytiques de beta thalassémie mineure</w:t>
      </w:r>
    </w:p>
    <w:p>
      <w:pPr>
        <w:numPr>
          <w:ilvl w:val="1"/>
          <w:numId w:val="114"/>
        </w:numPr>
      </w:pPr>
      <w:r>
        <w:rPr>
          <w:rFonts w:ascii="Times New Roman" w:hAnsi="Times New Roman"/>
        </w:rPr>
        <w:t>EHb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  <w:i/>
        </w:rPr>
        <w:t>electrophorèse</w:t>
      </w:r>
      <w:r>
        <w:rPr>
          <w:rFonts w:ascii="Times New Roman" w:hAnsi="Times New Roman"/>
          <w:i/>
        </w:rPr>
        <w:t xml:space="preserve"> de l'hémoglobine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de Bartz (gamma 4) à la naissance</w:t>
      </w:r>
    </w:p>
    <w:p>
      <w:pPr>
        <w:numPr>
          <w:ilvl w:val="2"/>
          <w:numId w:val="114"/>
        </w:numPr>
      </w:pP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H (delta 4) à l'âge adulte</w:t>
      </w:r>
    </w:p>
    <w:p>
      <w:pPr>
        <w:pStyle w:val="Heading3"/>
      </w:pPr>
      <w:r>
        <w:rPr/>
        <w:t>Exceptionnelles :</w:t>
      </w:r>
    </w:p>
    <w:p>
      <w:pPr>
        <w:numPr>
          <w:ilvl w:val="1"/>
          <w:numId w:val="114"/>
        </w:numPr>
      </w:pPr>
      <w:r>
        <w:rPr>
          <w:rFonts w:ascii="Times New Roman" w:hAnsi="Times New Roman"/>
        </w:rPr>
        <w:t>Beta delta thalassémie (augmentation isolée d'</w:t>
      </w:r>
      <w:r>
        <w:rPr>
          <w:rFonts w:ascii="Times New Roman" w:hAnsi="Times New Roman"/>
        </w:rPr>
        <w:t>HbF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114"/>
        </w:numPr>
      </w:pPr>
      <w:r>
        <w:rPr>
          <w:rFonts w:ascii="Times New Roman" w:hAnsi="Times New Roman"/>
        </w:rPr>
        <w:t>Deltathalassémie</w:t>
      </w:r>
      <w:r>
        <w:rPr>
          <w:rFonts w:ascii="Times New Roman" w:hAnsi="Times New Roman"/>
        </w:rPr>
        <w:t xml:space="preserve"> (absence d'HbA2) </w:t>
      </w:r>
    </w:p>
    <w:p>
      <w:pPr>
        <w:pStyle w:val="Heading3"/>
      </w:pPr>
      <w:r>
        <w:rPr/>
        <w:t>Doubles hétérozygoties thalasso-drépanocytaires</w:t>
      </w:r>
    </w:p>
    <w:p>
      <w:pPr>
        <w:ind w:left="-360"/>
      </w:pPr>
    </w:p>
    <w:p>
      <w:pPr>
        <w:pStyle w:val="Heading2"/>
      </w:pPr>
      <w:r>
        <w:rPr/>
        <w:t>TRAITEMENT : purement symptomatique</w:t>
      </w:r>
    </w:p>
    <w:p>
      <w:pPr>
        <w:pStyle w:val="Heading3"/>
      </w:pPr>
      <w:r>
        <w:rPr/>
        <w:t>Thalassémie majeure ou maladie de Cooley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Transfusion Bien contrôlée</w:t>
      </w:r>
    </w:p>
    <w:p>
      <w:pPr>
        <w:numPr>
          <w:ilvl w:val="2"/>
          <w:numId w:val="115"/>
        </w:numPr>
      </w:pPr>
      <w:r>
        <w:rPr>
          <w:rFonts w:ascii="Times New Roman" w:hAnsi="Times New Roman"/>
        </w:rPr>
        <w:t>Fréquence et quantité en fonction du taux d'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(100g/l)</w:t>
      </w:r>
    </w:p>
    <w:p>
      <w:pPr>
        <w:numPr>
          <w:ilvl w:val="2"/>
          <w:numId w:val="115"/>
        </w:numPr>
      </w:pPr>
      <w:r>
        <w:rPr>
          <w:rFonts w:ascii="Times New Roman" w:hAnsi="Times New Roman"/>
        </w:rPr>
        <w:t xml:space="preserve">Culot globulaire phénotypé : </w:t>
      </w:r>
      <w:r>
        <w:rPr>
          <w:rFonts w:ascii="Times New Roman" w:hAnsi="Times New Roman"/>
          <w:i/>
        </w:rPr>
        <w:t>compatibilisation</w:t>
      </w:r>
      <w:r>
        <w:rPr>
          <w:rFonts w:ascii="Times New Roman" w:hAnsi="Times New Roman"/>
          <w:i/>
        </w:rPr>
        <w:t xml:space="preserve"> élargie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Chélation du fer</w:t>
      </w:r>
    </w:p>
    <w:p>
      <w:pPr>
        <w:numPr>
          <w:ilvl w:val="2"/>
          <w:numId w:val="115"/>
        </w:numPr>
      </w:pPr>
      <w:r>
        <w:rPr>
          <w:rFonts w:ascii="Times New Roman" w:hAnsi="Times New Roman"/>
        </w:rPr>
        <w:t xml:space="preserve">Sous-cutanée : </w:t>
      </w:r>
      <w:r>
        <w:rPr>
          <w:rFonts w:ascii="Times New Roman" w:hAnsi="Times New Roman"/>
        </w:rPr>
        <w:t>desferoxamine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Desferal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115"/>
        </w:numPr>
      </w:pPr>
      <w:r>
        <w:rPr>
          <w:rFonts w:ascii="Times New Roman" w:hAnsi="Times New Roman"/>
        </w:rPr>
        <w:t xml:space="preserve">Per os : </w:t>
      </w:r>
      <w:r>
        <w:rPr>
          <w:rFonts w:ascii="Times New Roman" w:hAnsi="Times New Roman"/>
        </w:rPr>
        <w:t>desferasirox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Exjade</w:t>
      </w:r>
      <w:r>
        <w:rPr>
          <w:rFonts w:ascii="Times New Roman" w:hAnsi="Times New Roman"/>
        </w:rPr>
        <w:t>*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Splénectomie si séquestration (</w:t>
      </w:r>
      <w:r>
        <w:rPr>
          <w:rFonts w:ascii="Times New Roman" w:hAnsi="Times New Roman"/>
          <w:i/>
        </w:rPr>
        <w:t xml:space="preserve">=hyperfonctionnement de la </w:t>
      </w:r>
      <w:r>
        <w:rPr>
          <w:rFonts w:ascii="Times New Roman" w:hAnsi="Times New Roman"/>
          <w:i/>
        </w:rPr>
        <w:t>rate;</w:t>
      </w:r>
      <w:r>
        <w:rPr>
          <w:rFonts w:ascii="Times New Roman" w:hAnsi="Times New Roman"/>
          <w:i/>
        </w:rPr>
        <w:t xml:space="preserve"> il n'y a pas de relation entre la séquestration splénique et le volume de la rate) 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Acide folique à vie (</w:t>
      </w:r>
      <w:r>
        <w:rPr>
          <w:rFonts w:ascii="Times New Roman" w:hAnsi="Times New Roman"/>
          <w:i/>
        </w:rPr>
        <w:t xml:space="preserve">régulation des gènes de production des GR) 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Greffe de moëlle osseuse</w:t>
      </w:r>
    </w:p>
    <w:p>
      <w:pPr>
        <w:pStyle w:val="Heading3"/>
      </w:pPr>
      <w:r>
        <w:rPr/>
        <w:t>Autres formes</w:t>
      </w:r>
    </w:p>
    <w:p>
      <w:pPr>
        <w:numPr>
          <w:ilvl w:val="1"/>
          <w:numId w:val="115"/>
        </w:numPr>
      </w:pPr>
      <w:r>
        <w:rPr>
          <w:rFonts w:ascii="Times New Roman" w:hAnsi="Times New Roman"/>
        </w:rPr>
        <w:t>Splénectomie</w:t>
      </w:r>
    </w:p>
    <w:p>
      <w:pPr>
        <w:numPr>
          <w:ilvl w:val="2"/>
          <w:numId w:val="115"/>
        </w:numPr>
      </w:pPr>
      <w:r>
        <w:rPr>
          <w:rFonts w:ascii="Times New Roman" w:hAnsi="Times New Roman"/>
        </w:rPr>
        <w:t>Amélioration de la qualité et de durée de vie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