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TRANSFUSION SANGUINE</w:t>
      </w:r>
    </w:p>
    <w:p>
      <w:pPr>
        <w:pStyle w:val="Heading2"/>
      </w:pPr>
      <w:r>
        <w:rPr/>
        <w:t>Définition</w:t>
      </w:r>
      <w:r>
        <w:rPr/>
        <w:t xml:space="preserve"> </w:t>
      </w:r>
    </w:p>
    <w:p>
      <w:pPr>
        <w:numPr>
          <w:ilvl w:val="1"/>
          <w:numId w:val="80"/>
        </w:numPr>
      </w:pPr>
      <w:r>
        <w:rPr>
          <w:rFonts w:ascii="Times New Roman" w:hAnsi="Times New Roman"/>
        </w:rPr>
        <w:t>Acte médical, thérapeutique</w:t>
      </w:r>
    </w:p>
    <w:p>
      <w:pPr>
        <w:numPr>
          <w:ilvl w:val="1"/>
          <w:numId w:val="80"/>
        </w:numPr>
      </w:pPr>
      <w:r>
        <w:rPr>
          <w:rFonts w:ascii="Times New Roman" w:hAnsi="Times New Roman"/>
        </w:rPr>
        <w:t>Introduction du sang ou d'un produit dérivé du sang manquant dans un organisme receveur à partir d'un organisme donneur</w:t>
      </w:r>
    </w:p>
    <w:p>
      <w:pPr>
        <w:pStyle w:val="Heading2"/>
      </w:pPr>
      <w:r>
        <w:rPr/>
        <w:t>Modalités</w:t>
      </w:r>
      <w:r>
        <w:rPr/>
        <w:t xml:space="preserve"> </w:t>
      </w:r>
    </w:p>
    <w:p>
      <w:pPr>
        <w:numPr>
          <w:ilvl w:val="1"/>
          <w:numId w:val="80"/>
        </w:numPr>
      </w:pPr>
      <w:r>
        <w:rPr>
          <w:rFonts w:ascii="Times New Roman" w:hAnsi="Times New Roman"/>
        </w:rPr>
        <w:t>Transfusion simple</w:t>
      </w:r>
    </w:p>
    <w:p>
      <w:pPr>
        <w:numPr>
          <w:ilvl w:val="1"/>
          <w:numId w:val="80"/>
        </w:numPr>
      </w:pPr>
      <w:r>
        <w:rPr>
          <w:rFonts w:ascii="Times New Roman" w:hAnsi="Times New Roman"/>
        </w:rPr>
        <w:t>Echange transfusionnel</w:t>
      </w:r>
    </w:p>
    <w:p>
      <w:pPr>
        <w:numPr>
          <w:ilvl w:val="2"/>
          <w:numId w:val="80"/>
        </w:numPr>
      </w:pPr>
      <w:r>
        <w:rPr>
          <w:rFonts w:ascii="Times New Roman" w:hAnsi="Times New Roman"/>
        </w:rPr>
        <w:t>Saignée + transfusion</w:t>
      </w:r>
    </w:p>
    <w:p>
      <w:pPr>
        <w:numPr>
          <w:ilvl w:val="1"/>
          <w:numId w:val="80"/>
        </w:numPr>
      </w:pPr>
      <w:r>
        <w:rPr>
          <w:rFonts w:ascii="Times New Roman" w:hAnsi="Times New Roman"/>
        </w:rPr>
        <w:t xml:space="preserve">Saignée (polyglobulie) </w:t>
      </w:r>
    </w:p>
    <w:p>
      <w:pPr>
        <w:pStyle w:val="Heading2"/>
      </w:pPr>
      <w:r>
        <w:rPr/>
        <w:t>Précautions</w:t>
      </w:r>
    </w:p>
    <w:p>
      <w:pPr>
        <w:numPr>
          <w:ilvl w:val="1"/>
          <w:numId w:val="80"/>
        </w:numPr>
      </w:pPr>
      <w:r>
        <w:rPr>
          <w:rFonts w:ascii="Times New Roman" w:hAnsi="Times New Roman"/>
        </w:rPr>
        <w:t>Basées sur les accidents et les incidents de la transfusion</w:t>
      </w:r>
    </w:p>
    <w:p>
      <w:pPr>
        <w:pStyle w:val="Heading2"/>
      </w:pPr>
      <w:r>
        <w:rPr/>
        <w:t>Examens biologiques avant transfusion</w:t>
      </w:r>
    </w:p>
    <w:p>
      <w:pPr>
        <w:numPr>
          <w:ilvl w:val="0"/>
          <w:numId w:val="80"/>
        </w:numPr>
      </w:pPr>
      <w:r>
        <w:rPr>
          <w:rFonts w:ascii="Times New Roman" w:hAnsi="Times New Roman"/>
        </w:rPr>
        <w:t xml:space="preserve">Rechercher les Ag et les </w:t>
      </w:r>
      <w:r>
        <w:rPr>
          <w:rFonts w:ascii="Times New Roman" w:hAnsi="Times New Roman"/>
        </w:rPr>
        <w:t>Ac</w:t>
      </w:r>
    </w:p>
    <w:p>
      <w:pPr>
        <w:numPr>
          <w:ilvl w:val="1"/>
          <w:numId w:val="80"/>
        </w:numPr>
      </w:pPr>
      <w:r>
        <w:rPr>
          <w:rFonts w:ascii="Times New Roman" w:hAnsi="Times New Roman"/>
        </w:rPr>
        <w:t xml:space="preserve">Groupage ABOD (produits à partir du 6è mois) </w:t>
      </w:r>
    </w:p>
    <w:p>
      <w:pPr>
        <w:numPr>
          <w:ilvl w:val="1"/>
          <w:numId w:val="80"/>
        </w:numPr>
      </w:pPr>
      <w:r>
        <w:rPr>
          <w:rFonts w:ascii="Times New Roman" w:hAnsi="Times New Roman"/>
        </w:rPr>
        <w:t>Phénotypage RH, K, élargi =</w:t>
      </w:r>
      <w:r>
        <w:rPr>
          <w:rFonts w:ascii="Times New Roman" w:hAnsi="Times New Roman"/>
        </w:rPr>
        <w:t xml:space="preserve">(autres systèmes érythrocytaires) </w:t>
      </w:r>
    </w:p>
    <w:p>
      <w:pPr>
        <w:numPr>
          <w:ilvl w:val="1"/>
          <w:numId w:val="80"/>
        </w:numPr>
      </w:pPr>
      <w:r>
        <w:rPr>
          <w:rFonts w:ascii="Times New Roman" w:hAnsi="Times New Roman"/>
        </w:rPr>
        <w:t>RAI (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par le sujet) </w:t>
      </w:r>
    </w:p>
    <w:p>
      <w:pPr>
        <w:numPr>
          <w:ilvl w:val="0"/>
          <w:numId w:val="80"/>
        </w:numPr>
      </w:pPr>
      <w:r>
        <w:rPr>
          <w:rFonts w:ascii="Times New Roman" w:hAnsi="Times New Roman"/>
        </w:rPr>
        <w:t xml:space="preserve">Compatibilité (entre sérum du receveur et G. R du donneur au labo) </w:t>
      </w:r>
    </w:p>
    <w:p>
      <w:pPr>
        <w:numPr>
          <w:ilvl w:val="0"/>
          <w:numId w:val="80"/>
        </w:numPr>
      </w:pPr>
      <w:r>
        <w:rPr>
          <w:rFonts w:ascii="Times New Roman" w:hAnsi="Times New Roman"/>
        </w:rPr>
        <w:t xml:space="preserve">Cross match au lit du malade (entre le sang du receveur et sang à transfusé) </w:t>
      </w:r>
    </w:p>
    <w:p>
      <w:pPr>
        <w:numPr>
          <w:ilvl w:val="0"/>
          <w:numId w:val="80"/>
        </w:numPr>
      </w:pPr>
      <w:r>
        <w:rPr>
          <w:rFonts w:ascii="Times New Roman" w:hAnsi="Times New Roman"/>
        </w:rPr>
        <w:t xml:space="preserve">(RAI= recherche 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) irrégulier= autre que le système ABO) 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anti, D,</w:t>
      </w:r>
      <w:r>
        <w:rPr>
          <w:rFonts w:ascii="Times New Roman" w:hAnsi="Times New Roman"/>
        </w:rPr>
        <w:t>...</w:t>
      </w:r>
      <w:r>
        <w:rPr>
          <w:rFonts w:ascii="Times New Roman" w:hAnsi="Times New Roman"/>
        </w:rPr>
      </w:r>
    </w:p>
    <w:p>
      <w:pPr>
        <w:numPr>
          <w:ilvl w:val="0"/>
          <w:numId w:val="80"/>
        </w:numPr>
      </w:pPr>
      <w:r>
        <w:drawing>
          <wp:inline xmlns:a="http://schemas.openxmlformats.org/drawingml/2006/main" xmlns:pic="http://schemas.openxmlformats.org/drawingml/2006/picture">
            <wp:extent cx="23888700" cy="1728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88700" cy="172847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2288500" cy="1657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0" cy="1657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décision de transfusion d'hématies, de plaquettes, de leucocytes) </w:t>
      </w:r>
    </w:p>
    <w:p>
      <w:pPr>
        <w:numPr>
          <w:ilvl w:val="0"/>
          <w:numId w:val="80"/>
        </w:numPr>
      </w:pPr>
      <w:r>
        <w:rPr>
          <w:rFonts w:ascii="Times New Roman" w:hAnsi="Times New Roman"/>
        </w:rPr>
        <w:t xml:space="preserve">Hémostase, </w:t>
      </w:r>
      <w:r>
        <w:rPr>
          <w:rFonts w:ascii="Times New Roman" w:hAnsi="Times New Roman"/>
        </w:rPr>
        <w:t xml:space="preserve">décision de transfusion de plasma, de </w:t>
      </w:r>
      <w:r>
        <w:rPr>
          <w:rFonts w:ascii="Times New Roman" w:hAnsi="Times New Roman"/>
        </w:rPr>
        <w:t>factteurs</w:t>
      </w:r>
      <w:r>
        <w:rPr>
          <w:rFonts w:ascii="Times New Roman" w:hAnsi="Times New Roman"/>
        </w:rPr>
        <w:t xml:space="preserve"> de coagulation) </w:t>
      </w:r>
    </w:p>
    <w:p>
      <w:pPr>
        <w:numPr>
          <w:ilvl w:val="0"/>
          <w:numId w:val="80"/>
        </w:numPr>
      </w:pPr>
      <w:r>
        <w:rPr>
          <w:rFonts w:ascii="Times New Roman" w:hAnsi="Times New Roman"/>
        </w:rPr>
        <w:t xml:space="preserve"> statut sérologique vis-à-vis des infections avant la transfusion</w:t>
      </w:r>
    </w:p>
    <w:p>
      <w:pPr>
        <w:numPr>
          <w:ilvl w:val="0"/>
          <w:numId w:val="80"/>
        </w:numPr>
      </w:pPr>
      <w:r>
        <w:rPr>
          <w:rFonts w:ascii="Times New Roman" w:hAnsi="Times New Roman"/>
        </w:rPr>
        <w:t xml:space="preserve">Garder le sang </w:t>
      </w:r>
      <w:r>
        <w:rPr>
          <w:rFonts w:ascii="Times New Roman" w:hAnsi="Times New Roman"/>
        </w:rPr>
        <w:t xml:space="preserve"> au moins 7 jours</w:t>
      </w:r>
    </w:p>
    <w:p>
      <w:pPr/>
    </w:p>
    <w:p>
      <w:pPr/>
    </w:p>
    <w:p>
      <w:pPr>
        <w:pStyle w:val="Heading2"/>
      </w:pPr>
      <w:r>
        <w:rPr/>
        <w:t>Règles de transfusion du système ABO</w:t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4015700" cy="1696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15700" cy="169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>
        <w:pStyle w:val="Heading2"/>
      </w:pPr>
      <w:r>
        <w:rPr/>
        <w:t>CRITÈRES DE SELECTION DU DONNEUR</w:t>
      </w:r>
    </w:p>
    <w:p>
      <w:pPr>
        <w:numPr>
          <w:ilvl w:val="0"/>
          <w:numId w:val="81"/>
        </w:numPr>
      </w:pPr>
      <w:r>
        <w:rPr>
          <w:rFonts w:ascii="Times New Roman" w:hAnsi="Times New Roman"/>
        </w:rPr>
        <w:t>Pour protéger le receveur</w:t>
      </w:r>
    </w:p>
    <w:p>
      <w:pPr>
        <w:numPr>
          <w:ilvl w:val="0"/>
          <w:numId w:val="81"/>
        </w:numPr>
      </w:pPr>
      <w:r>
        <w:rPr>
          <w:rFonts w:ascii="Times New Roman" w:hAnsi="Times New Roman"/>
        </w:rPr>
        <w:t>Mais aussi protéger le donneur</w:t>
      </w:r>
    </w:p>
    <w:p>
      <w:pPr>
        <w:numPr>
          <w:ilvl w:val="1"/>
          <w:numId w:val="81"/>
        </w:numPr>
      </w:pPr>
      <w:r>
        <w:rPr>
          <w:rFonts w:ascii="Times New Roman" w:hAnsi="Times New Roman"/>
        </w:rPr>
        <w:t xml:space="preserve">Pour éviter les complications infectieuses etc.  </w:t>
      </w:r>
    </w:p>
    <w:p>
      <w:pPr>
        <w:pStyle w:val="Heading3"/>
      </w:pPr>
    </w:p>
    <w:p>
      <w:pPr>
        <w:numPr>
          <w:ilvl w:val="1"/>
          <w:numId w:val="81"/>
        </w:numPr>
      </w:pPr>
      <w:r>
        <w:rPr>
          <w:rFonts w:ascii="Times New Roman" w:hAnsi="Times New Roman"/>
        </w:rPr>
        <w:t>18-60 ans</w:t>
      </w:r>
    </w:p>
    <w:p>
      <w:pPr>
        <w:numPr>
          <w:ilvl w:val="1"/>
          <w:numId w:val="81"/>
        </w:numPr>
      </w:pPr>
      <w:r>
        <w:rPr>
          <w:rFonts w:ascii="Times New Roman" w:hAnsi="Times New Roman"/>
        </w:rPr>
        <w:t xml:space="preserve">Poids </w:t>
      </w:r>
      <w:r>
        <w:rPr>
          <w:rFonts w:ascii="Symbol" w:hAnsi="Symbol"/>
        </w:rPr>
      </w:r>
      <w:r>
        <w:rPr>
          <w:rFonts w:ascii="Times New Roman" w:hAnsi="Times New Roman"/>
        </w:rPr>
        <w:t xml:space="preserve"> 50 </w:t>
      </w:r>
      <w:r>
        <w:rPr>
          <w:rFonts w:ascii="Times New Roman" w:hAnsi="Times New Roman"/>
        </w:rPr>
        <w:t xml:space="preserve">volume de sang en fonction du </w:t>
      </w:r>
      <w:r>
        <w:rPr>
          <w:rFonts w:ascii="Times New Roman" w:hAnsi="Times New Roman"/>
        </w:rPr>
        <w:t xml:space="preserve"> 7-8%)</w:t>
      </w:r>
    </w:p>
    <w:p>
      <w:pPr>
        <w:numPr>
          <w:ilvl w:val="0"/>
          <w:numId w:val="81"/>
        </w:numPr>
      </w:pPr>
      <w:r>
        <w:rPr>
          <w:rFonts w:ascii="Times New Roman" w:hAnsi="Times New Roman"/>
        </w:rPr>
        <w:t xml:space="preserve">SG : E, fatigué, TA, </w:t>
      </w:r>
      <w:r>
        <w:rPr>
          <w:rFonts w:ascii="Times New Roman" w:hAnsi="Times New Roman"/>
        </w:rPr>
        <w:t>Fc</w:t>
      </w:r>
      <w:r>
        <w:rPr>
          <w:rFonts w:ascii="Times New Roman" w:hAnsi="Times New Roman"/>
        </w:rPr>
        <w:t>, FR, température, veille</w:t>
      </w:r>
    </w:p>
    <w:p>
      <w:pPr>
        <w:numPr>
          <w:ilvl w:val="0"/>
          <w:numId w:val="81"/>
        </w:numPr>
      </w:pPr>
      <w:r>
        <w:rPr>
          <w:rFonts w:ascii="Times New Roman" w:hAnsi="Times New Roman"/>
        </w:rPr>
        <w:t xml:space="preserve"> grossesse, allaitement, menstruation, (contraception </w:t>
      </w:r>
      <w:r>
        <w:rPr>
          <w:rFonts w:ascii="Times New Roman" w:hAnsi="Times New Roman"/>
        </w:rPr>
        <w:t xml:space="preserve"> hormones) </w:t>
      </w:r>
    </w:p>
    <w:p>
      <w:pPr>
        <w:numPr>
          <w:ilvl w:val="0"/>
          <w:numId w:val="81"/>
        </w:numPr>
      </w:pPr>
      <w:r>
        <w:rPr>
          <w:rFonts w:ascii="Times New Roman" w:hAnsi="Times New Roman"/>
        </w:rPr>
        <w:t xml:space="preserve"> médicaments, alcool, drogues</w:t>
      </w:r>
    </w:p>
    <w:p>
      <w:pPr>
        <w:pStyle w:val="Heading3"/>
      </w:pPr>
      <w:r>
        <w:rPr/>
        <w:t>Immunologiques</w:t>
      </w:r>
    </w:p>
    <w:p>
      <w:pPr>
        <w:numPr>
          <w:ilvl w:val="1"/>
          <w:numId w:val="81"/>
        </w:numPr>
      </w:pPr>
      <w:r>
        <w:rPr>
          <w:rFonts w:ascii="Times New Roman" w:hAnsi="Times New Roman"/>
        </w:rPr>
        <w:t>Transfusion antérieure, perçant, tatouage, chirurgie, avulsion dentaire</w:t>
      </w:r>
    </w:p>
    <w:p>
      <w:pPr>
        <w:pStyle w:val="Heading3"/>
      </w:pPr>
      <w:r>
        <w:rPr/>
        <w:t>Socio-comportementaux</w:t>
      </w:r>
    </w:p>
    <w:p>
      <w:pPr>
        <w:numPr>
          <w:ilvl w:val="1"/>
          <w:numId w:val="81"/>
        </w:numPr>
      </w:pPr>
      <w:r>
        <w:rPr>
          <w:rFonts w:ascii="Times New Roman" w:hAnsi="Times New Roman"/>
        </w:rPr>
        <w:t>, homosexuels, changement de partenaire récent, risque potentiel d'IST</w:t>
      </w:r>
    </w:p>
    <w:p>
      <w:pPr>
        <w:pStyle w:val="Heading3"/>
      </w:pPr>
      <w:r>
        <w:rPr/>
        <w:t>Antécédents</w:t>
      </w:r>
    </w:p>
    <w:p>
      <w:pPr>
        <w:numPr>
          <w:ilvl w:val="1"/>
          <w:numId w:val="81"/>
        </w:numPr>
      </w:pPr>
      <w:r>
        <w:rPr>
          <w:rFonts w:ascii="Times New Roman" w:hAnsi="Times New Roman"/>
        </w:rPr>
        <w:t>Antécédents cardiaques, hypertension</w:t>
      </w:r>
    </w:p>
    <w:p>
      <w:pPr>
        <w:numPr>
          <w:ilvl w:val="1"/>
          <w:numId w:val="81"/>
        </w:numPr>
      </w:pPr>
      <w:r>
        <w:rPr>
          <w:rFonts w:ascii="Times New Roman" w:hAnsi="Times New Roman"/>
        </w:rPr>
        <w:t>Antécédents familiaux hématologiques</w:t>
      </w:r>
    </w:p>
    <w:p>
      <w:pPr>
        <w:numPr>
          <w:ilvl w:val="1"/>
          <w:numId w:val="81"/>
        </w:numPr>
      </w:pPr>
      <w:r>
        <w:rPr>
          <w:rFonts w:ascii="Times New Roman" w:hAnsi="Times New Roman"/>
        </w:rPr>
        <w:t>Hospitalisation</w:t>
      </w:r>
    </w:p>
    <w:p>
      <w:pPr>
        <w:numPr>
          <w:ilvl w:val="1"/>
          <w:numId w:val="81"/>
        </w:numPr>
      </w:pPr>
      <w:r>
        <w:rPr>
          <w:rFonts w:ascii="Times New Roman" w:hAnsi="Times New Roman"/>
        </w:rPr>
        <w:t>Intervention chirurgicale, avulsion dentaire</w:t>
      </w:r>
    </w:p>
    <w:p>
      <w:pPr/>
    </w:p>
    <w:p>
      <w:pPr>
        <w:pStyle w:val="Heading2"/>
      </w:pPr>
      <w:r>
        <w:rPr/>
        <w:t>QUALIFICATION BIOLOGIQUE DU DON</w:t>
      </w:r>
    </w:p>
    <w:p>
      <w:pPr>
        <w:numPr>
          <w:ilvl w:val="0"/>
          <w:numId w:val="82"/>
        </w:numPr>
      </w:pPr>
      <w:r>
        <w:rPr>
          <w:rFonts w:ascii="Times New Roman" w:hAnsi="Times New Roman"/>
        </w:rPr>
        <w:t>Poche de sang intacte, bien remplie, bien identifiée</w:t>
      </w:r>
    </w:p>
    <w:p>
      <w:pPr>
        <w:numPr>
          <w:ilvl w:val="0"/>
          <w:numId w:val="82"/>
        </w:numPr>
      </w:pPr>
      <w:r>
        <w:rPr>
          <w:rFonts w:ascii="Times New Roman" w:hAnsi="Times New Roman"/>
        </w:rPr>
        <w:t>Groupage, phénotypage</w:t>
      </w:r>
    </w:p>
    <w:p>
      <w:pPr>
        <w:numPr>
          <w:ilvl w:val="0"/>
          <w:numId w:val="82"/>
        </w:numPr>
      </w:pPr>
      <w:r>
        <w:rPr>
          <w:rFonts w:ascii="Times New Roman" w:hAnsi="Times New Roman"/>
        </w:rPr>
        <w:t xml:space="preserve">Recherche </w:t>
      </w:r>
    </w:p>
    <w:p>
      <w:pPr>
        <w:numPr>
          <w:ilvl w:val="1"/>
          <w:numId w:val="82"/>
        </w:numPr>
      </w:pPr>
      <w:r>
        <w:rPr>
          <w:rFonts w:ascii="Times New Roman" w:hAnsi="Times New Roman"/>
        </w:rPr>
        <w:t>Sérologie VIH, HB, HC, syphilis (</w:t>
      </w:r>
      <w:r>
        <w:rPr>
          <w:rFonts w:ascii="Times New Roman" w:hAnsi="Times New Roman"/>
        </w:rPr>
        <w:t xml:space="preserve"> diagnostic génomique viral DGV) </w:t>
      </w:r>
    </w:p>
    <w:p>
      <w:pPr>
        <w:numPr>
          <w:ilvl w:val="1"/>
          <w:numId w:val="82"/>
        </w:numPr>
      </w:pPr>
      <w:r>
        <w:rPr>
          <w:rFonts w:ascii="Times New Roman" w:hAnsi="Times New Roman"/>
        </w:rPr>
        <w:t>CMV, EBV</w:t>
      </w:r>
    </w:p>
    <w:p>
      <w:pPr>
        <w:numPr>
          <w:ilvl w:val="1"/>
          <w:numId w:val="82"/>
        </w:numPr>
      </w:pPr>
      <w:r>
        <w:rPr>
          <w:rFonts w:ascii="Times New Roman" w:hAnsi="Times New Roman"/>
        </w:rPr>
        <w:t>Paludisme</w:t>
      </w:r>
    </w:p>
    <w:p>
      <w:pPr>
        <w:numPr>
          <w:ilvl w:val="0"/>
          <w:numId w:val="82"/>
        </w:num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 xml:space="preserve">on enlève </w:t>
      </w:r>
      <w:r>
        <w:rPr>
          <w:rFonts w:ascii="Times New Roman" w:hAnsi="Times New Roman"/>
          <w:i/>
        </w:rPr>
        <w:t xml:space="preserve"> pour éviter les réactions contre l'hôte</w:t>
      </w:r>
    </w:p>
    <w:p>
      <w:pPr>
        <w:numPr>
          <w:ilvl w:val="0"/>
          <w:numId w:val="82"/>
        </w:numPr>
      </w:pPr>
      <w:r>
        <w:rPr>
          <w:rFonts w:ascii="Times New Roman" w:hAnsi="Times New Roman"/>
        </w:rPr>
        <w:t>Conservation adéquate</w:t>
      </w:r>
    </w:p>
    <w:p>
      <w:pPr/>
    </w:p>
    <w:p>
      <w:pPr>
        <w:pStyle w:val="Heading2"/>
      </w:pPr>
      <w:r>
        <w:rPr/>
        <w:t>PARAMÈTRES DE SURVEILLANCE D'UN SUJET TRANSFUSÉ</w:t>
      </w:r>
    </w:p>
    <w:p>
      <w:pPr>
        <w:numPr>
          <w:ilvl w:val="0"/>
          <w:numId w:val="83"/>
        </w:num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Température, état </w:t>
      </w:r>
      <w:r>
        <w:rPr>
          <w:rFonts w:ascii="Times New Roman" w:hAnsi="Times New Roman"/>
        </w:rPr>
        <w:t>urticaire, érythème, urticaire</w:t>
      </w:r>
      <w:r>
        <w:rPr>
          <w:rFonts w:ascii="Times New Roman" w:hAnsi="Times New Roman"/>
        </w:rPr>
        <w:t>) ,</w:t>
      </w:r>
      <w:r>
        <w:rPr>
          <w:rFonts w:ascii="Times New Roman" w:hAnsi="Times New Roman"/>
        </w:rPr>
        <w:t xml:space="preserve"> urines: couleur, </w:t>
      </w:r>
      <w:r>
        <w:rPr>
          <w:rFonts w:ascii="Times New Roman" w:hAnsi="Times New Roman"/>
        </w:rPr>
        <w:t>oligo</w:t>
      </w:r>
      <w:r>
        <w:rPr>
          <w:rFonts w:ascii="Times New Roman" w:hAnsi="Times New Roman"/>
        </w:rPr>
        <w:t>-anurie</w:t>
      </w:r>
    </w:p>
    <w:p>
      <w:pPr>
        <w:numPr>
          <w:ilvl w:val="0"/>
          <w:numId w:val="83"/>
        </w:numPr>
      </w:pPr>
      <w:r>
        <w:rPr>
          <w:rFonts w:ascii="Times New Roman" w:hAnsi="Times New Roman"/>
        </w:rPr>
        <w:t xml:space="preserve"> frissons, fièvre, angoisse, </w:t>
      </w:r>
      <w:r>
        <w:rPr>
          <w:rFonts w:ascii="Times New Roman" w:hAnsi="Times New Roman"/>
        </w:rPr>
        <w:t xml:space="preserve">lombaire </w:t>
      </w:r>
      <w:r>
        <w:rPr>
          <w:rFonts w:ascii="Times New Roman" w:hAnsi="Times New Roman"/>
          <w:i/>
        </w:rPr>
        <w:t>par dépôt and reins de complexes Ag-</w:t>
      </w:r>
      <w:r>
        <w:rPr>
          <w:rFonts w:ascii="Times New Roman" w:hAnsi="Times New Roman"/>
          <w:i/>
        </w:rPr>
        <w:t>Ac</w:t>
      </w:r>
      <w:r>
        <w:rPr>
          <w:rFonts w:ascii="Times New Roman" w:hAnsi="Times New Roman"/>
        </w:rPr>
        <w:t xml:space="preserve">, abdominale, thoracique </w:t>
      </w:r>
      <w:r>
        <w:rPr>
          <w:rFonts w:ascii="Times New Roman" w:hAnsi="Times New Roman"/>
          <w:i/>
        </w:rPr>
        <w:t>TRALI peut être décalé de quelques heures</w:t>
      </w:r>
      <w:r>
        <w:rPr>
          <w:rFonts w:ascii="Times New Roman" w:hAnsi="Times New Roman"/>
        </w:rPr>
        <w:t xml:space="preserve">) </w:t>
      </w:r>
    </w:p>
    <w:p>
      <w:pPr>
        <w:numPr>
          <w:ilvl w:val="0"/>
          <w:numId w:val="83"/>
        </w:numPr>
      </w:pPr>
      <w:r>
        <w:rPr>
          <w:rFonts w:ascii="Times New Roman" w:hAnsi="Times New Roman"/>
        </w:rPr>
        <w:t>Hémorragie, signes cliniques anormaux</w:t>
      </w:r>
    </w:p>
    <w:p>
      <w:pPr/>
    </w:p>
    <w:p>
      <w:pPr>
        <w:pStyle w:val="Heading2"/>
      </w:pPr>
      <w:r>
        <w:rPr/>
        <w:t>Examens après la transfusion</w:t>
      </w:r>
    </w:p>
    <w:p>
      <w:pPr>
        <w:numPr>
          <w:ilvl w:val="0"/>
          <w:numId w:val="84"/>
        </w:numPr>
      </w:pPr>
      <w:r>
        <w:rPr>
          <w:rFonts w:ascii="Times New Roman" w:hAnsi="Times New Roman"/>
        </w:rPr>
        <w:t>Examens biologiques</w:t>
      </w:r>
    </w:p>
    <w:p>
      <w:pPr>
        <w:numPr>
          <w:ilvl w:val="1"/>
          <w:numId w:val="84"/>
        </w:numPr>
      </w:pPr>
      <w:r>
        <w:rPr>
          <w:rFonts w:ascii="Times New Roman" w:hAnsi="Times New Roman"/>
        </w:rPr>
        <w:t>Hémogramme, hémostase</w:t>
      </w:r>
      <w:r>
        <w:rPr>
          <w:rFonts w:ascii="Times New Roman" w:hAnsi="Times New Roman"/>
        </w:rPr>
        <w:t xml:space="preserve">(pour vérifier l'efficacité ou décider d'une autre transfusion) </w:t>
      </w:r>
    </w:p>
    <w:p>
      <w:pPr>
        <w:numPr>
          <w:ilvl w:val="1"/>
          <w:numId w:val="84"/>
        </w:numPr>
      </w:pPr>
      <w:r>
        <w:rPr>
          <w:rFonts w:ascii="Times New Roman" w:hAnsi="Times New Roman"/>
        </w:rPr>
        <w:t xml:space="preserve">Recherche d'infection (traitement éventuel) </w:t>
      </w:r>
    </w:p>
    <w:p>
      <w:pPr>
        <w:numPr>
          <w:ilvl w:val="2"/>
          <w:numId w:val="84"/>
        </w:numPr>
      </w:pPr>
      <w:r>
        <w:rPr>
          <w:rFonts w:ascii="Times New Roman" w:hAnsi="Times New Roman"/>
        </w:rPr>
        <w:t>Sérologie, TDR</w:t>
      </w:r>
    </w:p>
    <w:p>
      <w:pPr>
        <w:numPr>
          <w:ilvl w:val="1"/>
          <w:numId w:val="84"/>
        </w:numPr>
      </w:pPr>
      <w:r>
        <w:rPr>
          <w:rFonts w:ascii="Times New Roman" w:hAnsi="Times New Roman"/>
        </w:rPr>
        <w:t xml:space="preserve"> immunisation </w:t>
      </w:r>
      <w:r>
        <w:rPr>
          <w:rFonts w:ascii="Times New Roman" w:hAnsi="Times New Roman"/>
          <w:i/>
        </w:rPr>
        <w:t xml:space="preserve">développement </w:t>
      </w:r>
      <w:r>
        <w:rPr>
          <w:rFonts w:ascii="Times New Roman" w:hAnsi="Times New Roman"/>
          <w:i/>
        </w:rPr>
        <w:t>Ac</w:t>
      </w:r>
      <w:r>
        <w:rPr>
          <w:rFonts w:ascii="Times New Roman" w:hAnsi="Times New Roman"/>
          <w:i/>
        </w:rPr>
        <w:t xml:space="preserve"> anti Erythrocytaire irrégulier</w:t>
      </w:r>
    </w:p>
    <w:p>
      <w:pPr>
        <w:numPr>
          <w:ilvl w:val="1"/>
          <w:numId w:val="84"/>
        </w:numPr>
      </w:pPr>
      <w:r>
        <w:rPr>
          <w:rFonts w:ascii="Times New Roman" w:hAnsi="Times New Roman"/>
        </w:rPr>
        <w:t>EHB (</w:t>
      </w:r>
      <w:r>
        <w:rPr>
          <w:rFonts w:ascii="Times New Roman" w:hAnsi="Times New Roman"/>
        </w:rPr>
        <w:t>electrophorèse</w:t>
      </w:r>
      <w:r>
        <w:rPr>
          <w:rFonts w:ascii="Times New Roman" w:hAnsi="Times New Roman"/>
        </w:rPr>
        <w:t xml:space="preserve"> de </w:t>
      </w:r>
      <w:r>
        <w:rPr>
          <w:rFonts w:ascii="Times New Roman" w:hAnsi="Times New Roman"/>
        </w:rPr>
        <w:t xml:space="preserve"> diminution HbS </w:t>
      </w:r>
      <w:r>
        <w:rPr>
          <w:rFonts w:ascii="Times New Roman" w:hAnsi="Times New Roman"/>
        </w:rPr>
        <w:t>drépano</w:t>
      </w:r>
      <w:r>
        <w:rPr>
          <w:rFonts w:ascii="Times New Roman" w:hAnsi="Times New Roman"/>
        </w:rPr>
        <w:t xml:space="preserve"> et </w:t>
      </w:r>
      <w:r>
        <w:rPr>
          <w:rFonts w:ascii="Times New Roman" w:hAnsi="Times New Roman"/>
        </w:rPr>
        <w:t>Aug</w:t>
      </w:r>
      <w:r>
        <w:rPr>
          <w:rFonts w:ascii="Times New Roman" w:hAnsi="Times New Roman"/>
        </w:rPr>
        <w:t xml:space="preserve"> de l'HbA) </w:t>
      </w:r>
    </w:p>
    <w:p>
      <w:pPr>
        <w:numPr>
          <w:ilvl w:val="1"/>
          <w:numId w:val="84"/>
        </w:numPr>
      </w:pPr>
      <w:r>
        <w:rPr>
          <w:rFonts w:ascii="Times New Roman" w:hAnsi="Times New Roman"/>
        </w:rPr>
        <w:t xml:space="preserve">Examen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TRALI+++</w:t>
      </w:r>
      <w:r>
        <w:rPr>
          <w:rFonts w:ascii="Times New Roman" w:hAnsi="Times New Roman"/>
        </w:rPr>
        <w:t xml:space="preserve"> etc. </w:t>
      </w:r>
    </w:p>
    <w:p>
      <w:pPr/>
    </w:p>
    <w:p>
      <w:pPr>
        <w:pStyle w:val="Heading2"/>
      </w:pPr>
      <w:r>
        <w:rPr/>
        <w:t>INDICATIONS</w:t>
      </w:r>
    </w:p>
    <w:p>
      <w:pPr>
        <w:numPr>
          <w:ilvl w:val="0"/>
          <w:numId w:val="85"/>
        </w:numPr>
      </w:pPr>
      <w:r>
        <w:rPr>
          <w:rFonts w:ascii="Times New Roman" w:hAnsi="Times New Roman"/>
        </w:rPr>
        <w:t>Donner la partie du sang qui manque au malade</w:t>
      </w:r>
    </w:p>
    <w:p>
      <w:pPr>
        <w:numPr>
          <w:ilvl w:val="1"/>
          <w:numId w:val="85"/>
        </w:numPr>
      </w:pPr>
      <w:r>
        <w:rPr>
          <w:rFonts w:ascii="Times New Roman" w:hAnsi="Times New Roman"/>
        </w:rPr>
        <w:t xml:space="preserve"> culot érythrocytaire</w:t>
      </w:r>
    </w:p>
    <w:p>
      <w:pPr>
        <w:numPr>
          <w:ilvl w:val="1"/>
          <w:numId w:val="85"/>
        </w:numPr>
      </w:pPr>
      <w:r>
        <w:rPr>
          <w:rFonts w:ascii="Times New Roman" w:hAnsi="Times New Roman"/>
        </w:rPr>
        <w:t xml:space="preserve"> concentré plaquettaire, plasma riche en plaquettes</w:t>
      </w:r>
    </w:p>
    <w:p>
      <w:pPr>
        <w:numPr>
          <w:ilvl w:val="1"/>
          <w:numId w:val="85"/>
        </w:numPr>
      </w:pPr>
      <w:r>
        <w:rPr>
          <w:rFonts w:ascii="Times New Roman" w:hAnsi="Times New Roman"/>
        </w:rPr>
        <w:t xml:space="preserve"> concentré leucocytaire</w:t>
      </w:r>
    </w:p>
    <w:p>
      <w:pPr>
        <w:numPr>
          <w:ilvl w:val="1"/>
          <w:numId w:val="85"/>
        </w:numPr>
      </w:pPr>
      <w:r>
        <w:rPr>
          <w:rFonts w:ascii="Times New Roman" w:hAnsi="Times New Roman"/>
        </w:rPr>
        <w:t>Echange transfusionnel</w:t>
      </w:r>
    </w:p>
    <w:p>
      <w:pPr>
        <w:numPr>
          <w:ilvl w:val="1"/>
          <w:numId w:val="85"/>
        </w:numPr>
      </w:pPr>
      <w:r>
        <w:rPr>
          <w:rFonts w:ascii="Times New Roman" w:hAnsi="Times New Roman"/>
        </w:rPr>
        <w:t xml:space="preserve">Dénutrition, troubles de la coagulation, </w:t>
      </w:r>
      <w:r>
        <w:rPr>
          <w:rFonts w:ascii="Times New Roman" w:hAnsi="Times New Roman"/>
        </w:rPr>
        <w:t xml:space="preserve"> plasma</w:t>
      </w:r>
    </w:p>
    <w:p>
      <w:pPr>
        <w:numPr>
          <w:ilvl w:val="0"/>
          <w:numId w:val="85"/>
        </w:numPr>
      </w:pPr>
      <w:r>
        <w:rPr>
          <w:rFonts w:ascii="Times New Roman" w:hAnsi="Times New Roman"/>
        </w:rPr>
        <w:t xml:space="preserve">Sang </w:t>
      </w:r>
      <w:r>
        <w:rPr>
          <w:rFonts w:ascii="Times New Roman" w:hAnsi="Times New Roman"/>
        </w:rPr>
        <w:t xml:space="preserve"> problèmes de fractionnement, dénutrition, (avec risque de surcharge) </w:t>
      </w:r>
    </w:p>
    <w:p>
      <w:pPr/>
    </w:p>
    <w:p>
      <w:pPr>
        <w:pStyle w:val="Heading3"/>
      </w:pPr>
      <w:r>
        <w:rPr/>
        <w:t>Autres indications</w:t>
      </w:r>
    </w:p>
    <w:p>
      <w:pPr/>
      <w:r>
        <w:rPr>
          <w:rFonts w:ascii="Times New Roman" w:hAnsi="Times New Roman"/>
        </w:rPr>
        <w:t>Utilisation locale, plasma, fibre, plaquettes (</w:t>
      </w:r>
      <w:r>
        <w:rPr>
          <w:rFonts w:ascii="Times New Roman" w:hAnsi="Times New Roman"/>
          <w:i/>
        </w:rPr>
        <w:t xml:space="preserve">transfusion homologue) </w:t>
      </w:r>
    </w:p>
    <w:p>
      <w:pPr>
        <w:numPr>
          <w:ilvl w:val="0"/>
          <w:numId w:val="86"/>
        </w:numPr>
      </w:pPr>
      <w:r>
        <w:rPr>
          <w:rFonts w:ascii="Times New Roman" w:hAnsi="Times New Roman"/>
        </w:rPr>
        <w:t>Douleurs tendineuses</w:t>
      </w:r>
    </w:p>
    <w:p>
      <w:pPr>
        <w:numPr>
          <w:ilvl w:val="0"/>
          <w:numId w:val="86"/>
        </w:numPr>
      </w:pPr>
      <w:r>
        <w:rPr>
          <w:rFonts w:ascii="Times New Roman" w:hAnsi="Times New Roman"/>
        </w:rPr>
        <w:t>Cicatrisations osseuses</w:t>
      </w:r>
    </w:p>
    <w:p>
      <w:pPr>
        <w:numPr>
          <w:ilvl w:val="0"/>
          <w:numId w:val="86"/>
        </w:numPr>
      </w:pPr>
      <w:r>
        <w:rPr>
          <w:rFonts w:ascii="Times New Roman" w:hAnsi="Times New Roman"/>
        </w:rPr>
        <w:t>Chirurgie esthétique</w:t>
      </w:r>
    </w:p>
    <w:p>
      <w:pPr/>
      <w:r>
        <w:rPr>
          <w:rFonts w:ascii="Times New Roman" w:hAnsi="Times New Roman"/>
          <w:i/>
        </w:rPr>
        <w:t>Qualification spécifique</w:t>
      </w:r>
    </w:p>
    <w:p>
      <w:pPr>
        <w:pStyle w:val="Heading3"/>
      </w:pPr>
      <w:r>
        <w:rPr/>
        <w:t>CONCENTRES DE GR</w:t>
      </w:r>
    </w:p>
    <w:p>
      <w:pPr>
        <w:pStyle w:val="Heading4"/>
      </w:pPr>
      <w:r>
        <w:rPr/>
        <w:t>Composition</w:t>
      </w:r>
    </w:p>
    <w:p>
      <w:pPr>
        <w:numPr>
          <w:ilvl w:val="1"/>
          <w:numId w:val="87"/>
        </w:numPr>
      </w:pPr>
      <w:r>
        <w:rPr>
          <w:rFonts w:ascii="Times New Roman" w:hAnsi="Times New Roman"/>
        </w:rPr>
        <w:t xml:space="preserve"> 50g (min 40g)</w:t>
      </w:r>
    </w:p>
    <w:p>
      <w:pPr>
        <w:numPr>
          <w:ilvl w:val="1"/>
          <w:numId w:val="87"/>
        </w:numPr>
      </w:pPr>
      <w:r>
        <w:rPr>
          <w:rFonts w:ascii="Times New Roman" w:hAnsi="Times New Roman"/>
        </w:rPr>
        <w:t>Volume de l'ordre de 300ml</w:t>
      </w:r>
    </w:p>
    <w:p>
      <w:pPr>
        <w:numPr>
          <w:ilvl w:val="2"/>
          <w:numId w:val="87"/>
        </w:numPr>
      </w:pPr>
      <w:r>
        <w:rPr>
          <w:rFonts w:ascii="Times New Roman" w:hAnsi="Times New Roman"/>
        </w:rPr>
        <w:t>180 ml GR</w:t>
      </w:r>
    </w:p>
    <w:p>
      <w:pPr>
        <w:numPr>
          <w:ilvl w:val="2"/>
          <w:numId w:val="87"/>
        </w:numPr>
      </w:pPr>
      <w:r>
        <w:rPr>
          <w:rFonts w:ascii="Times New Roman" w:hAnsi="Times New Roman"/>
        </w:rPr>
        <w:t>20 ml plasma résiduel</w:t>
      </w:r>
    </w:p>
    <w:p>
      <w:pPr>
        <w:numPr>
          <w:ilvl w:val="2"/>
          <w:numId w:val="87"/>
        </w:numPr>
      </w:pPr>
      <w:r>
        <w:rPr>
          <w:rFonts w:ascii="Times New Roman" w:hAnsi="Times New Roman"/>
        </w:rPr>
        <w:t>100 ml solution de conservation</w:t>
      </w:r>
    </w:p>
    <w:p>
      <w:pPr>
        <w:numPr>
          <w:ilvl w:val="1"/>
          <w:numId w:val="87"/>
        </w:numPr>
      </w:pPr>
      <w:r>
        <w:rPr>
          <w:rFonts w:ascii="Times New Roman" w:hAnsi="Times New Roman"/>
        </w:rPr>
        <w:t xml:space="preserve"> 50 à 70%</w:t>
      </w:r>
    </w:p>
    <w:p>
      <w:pPr>
        <w:pStyle w:val="Heading4"/>
      </w:pPr>
      <w:r>
        <w:rPr/>
        <w:t>Indications</w:t>
      </w:r>
    </w:p>
    <w:p>
      <w:pPr>
        <w:numPr>
          <w:ilvl w:val="1"/>
          <w:numId w:val="87"/>
        </w:numPr>
      </w:pPr>
      <w:r>
        <w:rPr>
          <w:rFonts w:ascii="Times New Roman" w:hAnsi="Times New Roman"/>
          <w:b/>
        </w:rPr>
        <w:t xml:space="preserve">Anémie importante : </w:t>
      </w:r>
      <w:r>
        <w:rPr>
          <w:rFonts w:ascii="Times New Roman" w:hAnsi="Times New Roman"/>
          <w:b/>
          <w:i/>
        </w:rPr>
        <w:t>non toléré</w:t>
      </w:r>
    </w:p>
    <w:p>
      <w:pPr>
        <w:numPr>
          <w:ilvl w:val="2"/>
          <w:numId w:val="87"/>
        </w:numPr>
      </w:pPr>
      <w:r>
        <w:rPr>
          <w:rFonts w:ascii="Times New Roman" w:hAnsi="Times New Roman"/>
        </w:rPr>
        <w:t>D'origine médicale, chirurgicale ou obstétricale</w:t>
      </w:r>
    </w:p>
    <w:p>
      <w:pPr>
        <w:numPr>
          <w:ilvl w:val="2"/>
          <w:numId w:val="87"/>
        </w:numPr>
      </w:pPr>
      <w:r>
        <w:rPr>
          <w:rFonts w:ascii="Times New Roman" w:hAnsi="Times New Roman"/>
        </w:rPr>
        <w:t>Lorsque la restitution de la capacité de transport de l'O2 apparaît cliniquement nécessaire</w:t>
      </w:r>
    </w:p>
    <w:p>
      <w:pPr>
        <w:numPr>
          <w:ilvl w:val="2"/>
          <w:numId w:val="87"/>
        </w:numPr>
      </w:pPr>
      <w:r>
        <w:rPr>
          <w:rFonts w:ascii="Times New Roman" w:hAnsi="Times New Roman"/>
          <w:i/>
        </w:rPr>
        <w:t>On ne transfuse pas si on sait que l'anémie peut être corrigée par l'apport de matières premières</w:t>
      </w:r>
    </w:p>
    <w:p>
      <w:pPr>
        <w:pStyle w:val="Heading4"/>
      </w:pPr>
      <w:r>
        <w:rPr/>
        <w:t>Conservation</w:t>
      </w:r>
    </w:p>
    <w:p>
      <w:pPr>
        <w:numPr>
          <w:ilvl w:val="1"/>
          <w:numId w:val="87"/>
        </w:numPr>
      </w:pPr>
      <w:r>
        <w:rPr>
          <w:rFonts w:ascii="Times New Roman" w:hAnsi="Times New Roman"/>
        </w:rPr>
        <w:t>35 jours</w:t>
      </w:r>
    </w:p>
    <w:p>
      <w:pPr>
        <w:numPr>
          <w:ilvl w:val="1"/>
          <w:numId w:val="87"/>
        </w:numPr>
      </w:pPr>
      <w:r>
        <w:rPr>
          <w:rFonts w:ascii="Times New Roman" w:hAnsi="Times New Roman"/>
        </w:rPr>
        <w:t xml:space="preserve"> 4°C (2-8°C)</w:t>
      </w:r>
    </w:p>
    <w:p>
      <w:pPr/>
    </w:p>
    <w:p>
      <w:pPr>
        <w:pStyle w:val="Heading3"/>
      </w:pPr>
      <w:r>
        <w:rPr/>
        <w:t>CONCENTRES DE PLAQUETTES</w:t>
      </w:r>
    </w:p>
    <w:p>
      <w:pPr>
        <w:pStyle w:val="Heading4"/>
      </w:pPr>
      <w:r>
        <w:rPr/>
        <w:t>Composition</w:t>
      </w:r>
    </w:p>
    <w:p>
      <w:pPr>
        <w:pStyle w:val="Heading5"/>
      </w:pPr>
      <w:r>
        <w:rPr/>
        <w:t>Mélange de concentrés standard de plaquettes</w:t>
      </w:r>
    </w:p>
    <w:p>
      <w:pPr>
        <w:numPr>
          <w:ilvl w:val="1"/>
          <w:numId w:val="88"/>
        </w:numPr>
      </w:pPr>
      <w:r>
        <w:rPr>
          <w:rFonts w:ascii="Times New Roman" w:hAnsi="Times New Roman"/>
        </w:rPr>
        <w:t>Chaque unité de concentré standard obtenue à partir d'une unité adulte de sang total</w:t>
      </w:r>
    </w:p>
    <w:p>
      <w:pPr>
        <w:numPr>
          <w:ilvl w:val="1"/>
          <w:numId w:val="88"/>
        </w:numPr>
      </w:pPr>
      <w:r>
        <w:rPr>
          <w:rFonts w:ascii="Times New Roman" w:hAnsi="Times New Roman"/>
        </w:rPr>
        <w:t>Contient au minimum 0,5 x 10</w:t>
      </w:r>
      <w:r>
        <w:rPr>
          <w:rFonts w:ascii="Times New Roman" w:hAnsi="Times New Roman"/>
        </w:rPr>
        <w:t>11</w:t>
      </w:r>
      <w:r>
        <w:rPr>
          <w:rFonts w:ascii="Times New Roman" w:hAnsi="Times New Roman"/>
        </w:rPr>
        <w:t xml:space="preserve"> plaquettes dans 25-75ml de plasma</w:t>
      </w:r>
    </w:p>
    <w:p>
      <w:pPr>
        <w:numPr>
          <w:ilvl w:val="1"/>
          <w:numId w:val="88"/>
        </w:numPr>
      </w:pPr>
      <w:r>
        <w:rPr>
          <w:rFonts w:ascii="Times New Roman" w:hAnsi="Times New Roman"/>
        </w:rPr>
        <w:t xml:space="preserve">Mélange de plusieurs unités nécessaire pour obtenir une dose </w:t>
      </w:r>
      <w:r>
        <w:rPr>
          <w:rFonts w:ascii="Times New Roman" w:hAnsi="Times New Roman"/>
          <w:i/>
        </w:rPr>
        <w:t xml:space="preserve">risque d'immunisation </w:t>
      </w:r>
      <w:r>
        <w:rPr>
          <w:rFonts w:ascii="Times New Roman" w:hAnsi="Times New Roman"/>
          <w:i/>
        </w:rPr>
        <w:t>anti-plaquettaire</w:t>
      </w:r>
      <w:r>
        <w:rPr>
          <w:rFonts w:ascii="Times New Roman" w:hAnsi="Times New Roman"/>
          <w:i/>
        </w:rPr>
        <w:t xml:space="preserve">, Non disponible chez nous) </w:t>
      </w:r>
    </w:p>
    <w:p>
      <w:pPr>
        <w:pStyle w:val="Heading5"/>
      </w:pPr>
      <w:r>
        <w:rPr/>
        <w:t>Concentré de plaquettes d'aphérèse</w:t>
      </w:r>
    </w:p>
    <w:p>
      <w:pPr>
        <w:numPr>
          <w:ilvl w:val="3"/>
          <w:numId w:val="88"/>
        </w:numPr>
      </w:pPr>
      <w:r>
        <w:rPr>
          <w:rFonts w:ascii="Times New Roman" w:hAnsi="Times New Roman"/>
        </w:rPr>
        <w:t>Préparé à l'aide d'un séparateur de cellules à partir d'un seul donneur</w:t>
      </w:r>
    </w:p>
    <w:p>
      <w:pPr>
        <w:numPr>
          <w:ilvl w:val="3"/>
          <w:numId w:val="88"/>
        </w:numPr>
      </w:pPr>
      <w:r>
        <w:rPr>
          <w:rFonts w:ascii="Times New Roman" w:hAnsi="Times New Roman"/>
        </w:rPr>
        <w:t>Contient 1,5 à 8 x 10</w:t>
      </w:r>
      <w:r>
        <w:rPr>
          <w:rFonts w:ascii="Times New Roman" w:hAnsi="Times New Roman"/>
        </w:rPr>
        <w:t>11</w:t>
      </w:r>
      <w:r>
        <w:rPr>
          <w:rFonts w:ascii="Times New Roman" w:hAnsi="Times New Roman"/>
        </w:rPr>
        <w:t xml:space="preserve"> plaquettes dans 200 à 650 ml de plasma (correspond à environ 3 à 16 unités(poches) standard) </w:t>
      </w:r>
    </w:p>
    <w:p>
      <w:pPr>
        <w:numPr>
          <w:ilvl w:val="3"/>
          <w:numId w:val="88"/>
        </w:numPr>
      </w:pPr>
      <w:r>
        <w:rPr>
          <w:rFonts w:ascii="Times New Roman" w:hAnsi="Times New Roman"/>
          <w:i/>
        </w:rPr>
        <w:t>Non encore disponible chez nous</w:t>
      </w:r>
    </w:p>
    <w:p>
      <w:pPr>
        <w:pStyle w:val="Heading5"/>
      </w:pPr>
    </w:p>
    <w:p>
      <w:pPr>
        <w:numPr>
          <w:ilvl w:val="3"/>
          <w:numId w:val="88"/>
        </w:numPr>
      </w:pPr>
      <w:r>
        <w:rPr>
          <w:rFonts w:ascii="Times New Roman" w:hAnsi="Times New Roman"/>
        </w:rPr>
        <w:t>0,7 à 1x10</w:t>
      </w:r>
      <w:r>
        <w:rPr>
          <w:rFonts w:ascii="Times New Roman" w:hAnsi="Times New Roman"/>
        </w:rPr>
        <w:t>11</w:t>
      </w:r>
      <w:r>
        <w:rPr>
          <w:rFonts w:ascii="Times New Roman" w:hAnsi="Times New Roman"/>
        </w:rPr>
        <w:t xml:space="preserve"> plaquette/10kg de poids</w:t>
      </w:r>
    </w:p>
    <w:p>
      <w:pPr>
        <w:numPr>
          <w:ilvl w:val="3"/>
          <w:numId w:val="88"/>
        </w:numPr>
      </w:pPr>
      <w:r>
        <w:rPr>
          <w:rFonts w:ascii="Times New Roman" w:hAnsi="Times New Roman"/>
        </w:rPr>
        <w:t>Soit pour un adulte de 60kg</w:t>
      </w:r>
    </w:p>
    <w:p>
      <w:pPr>
        <w:numPr>
          <w:ilvl w:val="4"/>
          <w:numId w:val="88"/>
        </w:numPr>
      </w:pPr>
      <w:r>
        <w:rPr>
          <w:rFonts w:ascii="Times New Roman" w:hAnsi="Times New Roman"/>
        </w:rPr>
        <w:t>4 à 6 x 10</w:t>
      </w:r>
      <w:r>
        <w:rPr>
          <w:rFonts w:ascii="Times New Roman" w:hAnsi="Times New Roman"/>
        </w:rPr>
        <w:t>11</w:t>
      </w:r>
      <w:r>
        <w:rPr>
          <w:rFonts w:ascii="Times New Roman" w:hAnsi="Times New Roman"/>
        </w:rPr>
        <w:t xml:space="preserve"> plaquette</w:t>
      </w:r>
    </w:p>
    <w:p>
      <w:pPr>
        <w:numPr>
          <w:ilvl w:val="3"/>
          <w:numId w:val="88"/>
        </w:numPr>
      </w:pPr>
      <w:r>
        <w:rPr>
          <w:rFonts w:ascii="Times New Roman" w:hAnsi="Times New Roman"/>
        </w:rPr>
        <w:t>Indications</w:t>
      </w:r>
    </w:p>
    <w:p>
      <w:pPr>
        <w:numPr>
          <w:ilvl w:val="4"/>
          <w:numId w:val="88"/>
        </w:numPr>
      </w:pPr>
      <w:r>
        <w:rPr>
          <w:rFonts w:ascii="Times New Roman" w:hAnsi="Times New Roman"/>
        </w:rPr>
        <w:t>Thrombopénies centrales</w:t>
      </w:r>
    </w:p>
    <w:p>
      <w:pPr>
        <w:numPr>
          <w:ilvl w:val="5"/>
          <w:numId w:val="88"/>
        </w:numPr>
      </w:pPr>
      <w:r>
        <w:rPr>
          <w:rFonts w:ascii="Times New Roman" w:hAnsi="Times New Roman"/>
        </w:rPr>
        <w:t>À titre préventif, seuil transfusionnel 10 G/l</w:t>
      </w:r>
    </w:p>
    <w:p>
      <w:pPr>
        <w:numPr>
          <w:ilvl w:val="5"/>
          <w:numId w:val="88"/>
        </w:numPr>
      </w:pPr>
      <w:r>
        <w:rPr>
          <w:rFonts w:ascii="Times New Roman" w:hAnsi="Times New Roman"/>
        </w:rPr>
        <w:t>En situation hémorragique ou chirurgicale, maintenir 50 G/l</w:t>
      </w:r>
    </w:p>
    <w:p>
      <w:pPr>
        <w:numPr>
          <w:ilvl w:val="4"/>
          <w:numId w:val="88"/>
        </w:numPr>
      </w:pPr>
      <w:r>
        <w:rPr>
          <w:rFonts w:ascii="Times New Roman" w:hAnsi="Times New Roman"/>
        </w:rPr>
        <w:t>Thrombopénies périphériques</w:t>
      </w:r>
    </w:p>
    <w:p>
      <w:pPr>
        <w:numPr>
          <w:ilvl w:val="5"/>
          <w:numId w:val="88"/>
        </w:numPr>
      </w:pPr>
      <w:r>
        <w:rPr>
          <w:rFonts w:ascii="Times New Roman" w:hAnsi="Times New Roman"/>
        </w:rPr>
        <w:t>Dilution par l'hémorragie</w:t>
      </w:r>
    </w:p>
    <w:p>
      <w:pPr>
        <w:numPr>
          <w:ilvl w:val="6"/>
          <w:numId w:val="88"/>
        </w:numPr>
      </w:pPr>
      <w:r>
        <w:rPr>
          <w:rFonts w:ascii="Times New Roman" w:hAnsi="Times New Roman"/>
        </w:rPr>
        <w:t xml:space="preserve">Hémorragie </w:t>
      </w:r>
      <w:r>
        <w:rPr>
          <w:rFonts w:ascii="Times New Roman" w:hAnsi="Times New Roman"/>
          <w:i/>
        </w:rPr>
        <w:t xml:space="preserve">sup à </w:t>
      </w:r>
      <w:r>
        <w:rPr>
          <w:rFonts w:ascii="Times New Roman" w:hAnsi="Times New Roman"/>
        </w:rPr>
        <w:t>1,5 masse sanguine</w:t>
      </w:r>
    </w:p>
    <w:p>
      <w:pPr>
        <w:numPr>
          <w:ilvl w:val="5"/>
          <w:numId w:val="88"/>
        </w:numPr>
      </w:pPr>
      <w:r>
        <w:rPr>
          <w:rFonts w:ascii="Times New Roman" w:hAnsi="Times New Roman"/>
        </w:rPr>
        <w:t>Consommation par hypersplénisme ou CIVD</w:t>
      </w:r>
    </w:p>
    <w:p>
      <w:pPr>
        <w:numPr>
          <w:ilvl w:val="6"/>
          <w:numId w:val="88"/>
        </w:numPr>
      </w:pPr>
      <w:r>
        <w:rPr>
          <w:rFonts w:ascii="Times New Roman" w:hAnsi="Times New Roman"/>
        </w:rPr>
        <w:t>À faire si processus maitrisé ou hémorragie</w:t>
      </w:r>
    </w:p>
    <w:p>
      <w:pPr>
        <w:numPr>
          <w:ilvl w:val="4"/>
          <w:numId w:val="88"/>
        </w:numPr>
      </w:pPr>
      <w:r>
        <w:rPr>
          <w:rFonts w:ascii="Times New Roman" w:hAnsi="Times New Roman"/>
        </w:rPr>
        <w:t>Thrombopathies</w:t>
      </w:r>
    </w:p>
    <w:p>
      <w:pPr>
        <w:numPr>
          <w:ilvl w:val="5"/>
          <w:numId w:val="88"/>
        </w:numPr>
      </w:pPr>
      <w:r>
        <w:rPr>
          <w:rFonts w:ascii="Times New Roman" w:hAnsi="Times New Roman"/>
        </w:rPr>
        <w:t>Exemples</w:t>
      </w:r>
    </w:p>
    <w:p>
      <w:pPr>
        <w:numPr>
          <w:ilvl w:val="6"/>
          <w:numId w:val="88"/>
        </w:numPr>
      </w:pPr>
      <w:r>
        <w:rPr>
          <w:rFonts w:ascii="Times New Roman" w:hAnsi="Times New Roman"/>
        </w:rPr>
        <w:t>Maladie de Willebrand</w:t>
      </w:r>
    </w:p>
    <w:p>
      <w:pPr>
        <w:numPr>
          <w:ilvl w:val="6"/>
          <w:numId w:val="88"/>
        </w:numPr>
      </w:pPr>
      <w:r>
        <w:rPr>
          <w:rFonts w:ascii="Times New Roman" w:hAnsi="Times New Roman"/>
        </w:rPr>
        <w:t>Plaquettes grises</w:t>
      </w:r>
    </w:p>
    <w:p>
      <w:pPr>
        <w:numPr>
          <w:ilvl w:val="5"/>
          <w:numId w:val="88"/>
        </w:numPr>
      </w:pPr>
      <w:r>
        <w:rPr>
          <w:rFonts w:ascii="Times New Roman" w:hAnsi="Times New Roman"/>
        </w:rPr>
        <w:t>En cas d'hémorragie grave ou en situation chirurgicale pour les personnes porteuses de thrombopathies</w:t>
      </w:r>
    </w:p>
    <w:p>
      <w:pPr>
        <w:numPr>
          <w:ilvl w:val="3"/>
          <w:numId w:val="88"/>
        </w:numPr>
      </w:pPr>
      <w:r>
        <w:rPr>
          <w:rFonts w:ascii="Times New Roman" w:hAnsi="Times New Roman"/>
        </w:rPr>
        <w:t>Conservation</w:t>
      </w:r>
    </w:p>
    <w:p>
      <w:pPr>
        <w:numPr>
          <w:ilvl w:val="4"/>
          <w:numId w:val="88"/>
        </w:numPr>
      </w:pPr>
      <w:r>
        <w:rPr>
          <w:rFonts w:ascii="Times New Roman" w:hAnsi="Times New Roman"/>
        </w:rPr>
        <w:t>3-5 jours</w:t>
      </w:r>
    </w:p>
    <w:p>
      <w:pPr>
        <w:numPr>
          <w:ilvl w:val="4"/>
          <w:numId w:val="88"/>
        </w:numPr>
      </w:pPr>
      <w:r>
        <w:rPr>
          <w:rFonts w:ascii="Times New Roman" w:hAnsi="Times New Roman"/>
        </w:rPr>
        <w:t xml:space="preserve">À 22°C </w:t>
      </w:r>
      <w:r>
        <w:rPr>
          <w:rFonts w:ascii="Times New Roman" w:hAnsi="Times New Roman"/>
        </w:rPr>
        <w:t>T°ambiante</w:t>
      </w:r>
    </w:p>
    <w:p>
      <w:pPr>
        <w:numPr>
          <w:ilvl w:val="4"/>
          <w:numId w:val="88"/>
        </w:numPr>
      </w:pPr>
      <w:r>
        <w:rPr>
          <w:rFonts w:ascii="Times New Roman" w:hAnsi="Times New Roman"/>
        </w:rPr>
        <w:t>Sous agitation continue</w:t>
      </w:r>
    </w:p>
    <w:p>
      <w:pPr>
        <w:pStyle w:val="Heading5"/>
      </w:pPr>
      <w:r>
        <w:rPr/>
        <w:t>Si culot plaquettaire non disponible</w:t>
      </w:r>
    </w:p>
    <w:p>
      <w:pPr>
        <w:pStyle w:val="Heading6"/>
      </w:pPr>
      <w:r>
        <w:rPr/>
        <w:t>Plasma riche en plaquettes PRP</w:t>
      </w:r>
    </w:p>
    <w:p>
      <w:pPr>
        <w:numPr>
          <w:ilvl w:val="4"/>
          <w:numId w:val="88"/>
        </w:numPr>
      </w:pPr>
      <w:r>
        <w:rPr>
          <w:rFonts w:ascii="Times New Roman" w:hAnsi="Times New Roman"/>
        </w:rPr>
        <w:t xml:space="preserve">Obtenu par centrifugation lente du sang laissant surnager les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 xml:space="preserve">plaquettes à partir d'un seul donneur au lieu de dizaine de 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fika</w:t>
      </w:r>
      <w:r>
        <w:rPr>
          <w:rFonts w:ascii="Times New Roman" w:hAnsi="Times New Roman"/>
          <w:i/>
        </w:rPr>
        <w:t>=</w:t>
      </w:r>
      <w:r>
        <w:rPr>
          <w:rFonts w:ascii="Times New Roman" w:hAnsi="Times New Roman"/>
          <w:i/>
        </w:rPr>
        <w:t>centrifugena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indroa</w:t>
      </w:r>
      <w:r>
        <w:rPr>
          <w:rFonts w:ascii="Times New Roman" w:hAnsi="Times New Roman"/>
          <w:i/>
        </w:rPr>
        <w:t xml:space="preserve">, lasa plasma vide </w:t>
      </w:r>
      <w:r>
        <w:rPr>
          <w:rFonts w:ascii="Times New Roman" w:hAnsi="Times New Roman"/>
          <w:i/>
        </w:rPr>
        <w:t>sisa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ny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amin'ilay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farany</w:t>
      </w:r>
      <w:r>
        <w:rPr>
          <w:rFonts w:ascii="Times New Roman" w:hAnsi="Times New Roman"/>
          <w:i/>
        </w:rPr>
        <w:t xml:space="preserve"> dia on fait ça avec des dizaines de poches... Problème=temps) </w:t>
      </w:r>
    </w:p>
    <w:p>
      <w:pPr>
        <w:pStyle w:val="Heading6"/>
      </w:pPr>
      <w:r>
        <w:rPr/>
        <w:t>Sang total frais</w:t>
      </w:r>
    </w:p>
    <w:p>
      <w:pPr>
        <w:numPr>
          <w:ilvl w:val="4"/>
          <w:numId w:val="88"/>
        </w:numPr>
      </w:pPr>
      <w:r>
        <w:rPr>
          <w:rFonts w:ascii="Times New Roman" w:hAnsi="Times New Roman"/>
        </w:rPr>
        <w:t>Prélevé et transfusé le jour même, sans séjour au froid</w:t>
      </w:r>
    </w:p>
    <w:p>
      <w:pPr>
        <w:numPr>
          <w:ilvl w:val="4"/>
          <w:numId w:val="88"/>
        </w:numPr>
      </w:pPr>
      <w:r>
        <w:rPr>
          <w:rFonts w:ascii="Times New Roman" w:hAnsi="Times New Roman"/>
        </w:rPr>
        <w:t xml:space="preserve">Echange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 xml:space="preserve">épargner le sujet d'une partie de sang qui lui est nuisible. </w:t>
      </w:r>
      <w:r>
        <w:rPr>
          <w:rFonts w:ascii="Times New Roman" w:hAnsi="Times New Roman"/>
          <w:i/>
        </w:rPr>
        <w:t>Ohatra</w:t>
      </w:r>
      <w:r>
        <w:rPr>
          <w:rFonts w:ascii="Times New Roman" w:hAnsi="Times New Roman"/>
          <w:i/>
        </w:rPr>
        <w:t>: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esorina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ny</w:t>
      </w:r>
      <w:r>
        <w:rPr>
          <w:rFonts w:ascii="Times New Roman" w:hAnsi="Times New Roman"/>
          <w:i/>
        </w:rPr>
        <w:t xml:space="preserve"> sang </w:t>
      </w:r>
      <w:r>
        <w:rPr>
          <w:rFonts w:ascii="Times New Roman" w:hAnsi="Times New Roman"/>
          <w:i/>
        </w:rPr>
        <w:t>tsy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misy</w:t>
      </w:r>
      <w:r>
        <w:rPr>
          <w:rFonts w:ascii="Times New Roman" w:hAnsi="Times New Roman"/>
          <w:i/>
        </w:rPr>
        <w:t xml:space="preserve"> plaquettes dia </w:t>
      </w:r>
      <w:r>
        <w:rPr>
          <w:rFonts w:ascii="Times New Roman" w:hAnsi="Times New Roman"/>
          <w:i/>
        </w:rPr>
        <w:t>soloina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an'ilay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misy</w:t>
      </w:r>
      <w:r>
        <w:rPr>
          <w:rFonts w:ascii="Times New Roman" w:hAnsi="Times New Roman"/>
          <w:i/>
        </w:rPr>
        <w:t xml:space="preserve">. </w:t>
      </w:r>
      <w:r>
        <w:rPr>
          <w:rFonts w:ascii="Times New Roman" w:hAnsi="Times New Roman"/>
          <w:i/>
        </w:rPr>
        <w:t>Tsy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misy</w:t>
      </w:r>
      <w:r>
        <w:rPr>
          <w:rFonts w:ascii="Times New Roman" w:hAnsi="Times New Roman"/>
          <w:i/>
        </w:rPr>
        <w:t xml:space="preserve"> surcharge </w:t>
      </w:r>
      <w:r>
        <w:rPr>
          <w:rFonts w:ascii="Times New Roman" w:hAnsi="Times New Roman"/>
          <w:i/>
        </w:rPr>
        <w:t>eto</w:t>
      </w:r>
    </w:p>
    <w:p>
      <w:pPr>
        <w:pStyle w:val="Heading6"/>
      </w:pPr>
      <w:r>
        <w:rPr/>
        <w:t>Plasma frais congelé</w:t>
      </w:r>
    </w:p>
    <w:p>
      <w:pPr>
        <w:numPr>
          <w:ilvl w:val="4"/>
          <w:numId w:val="88"/>
        </w:numPr>
      </w:pPr>
      <w:r>
        <w:rPr>
          <w:rFonts w:ascii="Times New Roman" w:hAnsi="Times New Roman"/>
        </w:rPr>
        <w:t>Conservation et délivrance</w:t>
      </w:r>
    </w:p>
    <w:p>
      <w:pPr>
        <w:numPr>
          <w:ilvl w:val="5"/>
          <w:numId w:val="88"/>
        </w:numPr>
      </w:pPr>
      <w:r>
        <w:rPr>
          <w:rFonts w:ascii="Times New Roman" w:hAnsi="Times New Roman"/>
        </w:rPr>
        <w:t>Conservation</w:t>
      </w:r>
    </w:p>
    <w:p>
      <w:pPr>
        <w:numPr>
          <w:ilvl w:val="6"/>
          <w:numId w:val="88"/>
        </w:numPr>
      </w:pPr>
      <w:r>
        <w:rPr>
          <w:rFonts w:ascii="Times New Roman" w:hAnsi="Times New Roman"/>
        </w:rPr>
        <w:t>12-18 mois</w:t>
      </w:r>
    </w:p>
    <w:p>
      <w:pPr>
        <w:numPr>
          <w:ilvl w:val="6"/>
          <w:numId w:val="88"/>
        </w:numPr>
      </w:pPr>
      <w:r>
        <w:rPr>
          <w:rFonts w:ascii="Times New Roman" w:hAnsi="Times New Roman"/>
        </w:rPr>
        <w:t>T° moins de-25°</w:t>
      </w:r>
    </w:p>
    <w:p>
      <w:pPr>
        <w:numPr>
          <w:ilvl w:val="5"/>
          <w:numId w:val="88"/>
        </w:numPr>
      </w:pPr>
      <w:r>
        <w:rPr>
          <w:rFonts w:ascii="Times New Roman" w:hAnsi="Times New Roman"/>
        </w:rPr>
        <w:t>Délivré décongelé par la banque de sang et à transfuser dans les 6 heures</w:t>
      </w:r>
    </w:p>
    <w:p>
      <w:pPr>
        <w:numPr>
          <w:ilvl w:val="4"/>
          <w:numId w:val="88"/>
        </w:numPr>
      </w:pPr>
      <w:r>
        <w:rPr>
          <w:rFonts w:ascii="Times New Roman" w:hAnsi="Times New Roman"/>
        </w:rPr>
        <w:t>Indications</w:t>
      </w:r>
    </w:p>
    <w:p>
      <w:pPr>
        <w:numPr>
          <w:ilvl w:val="5"/>
          <w:numId w:val="88"/>
        </w:numPr>
      </w:pPr>
      <w:r>
        <w:rPr>
          <w:rFonts w:ascii="Times New Roman" w:hAnsi="Times New Roman"/>
        </w:rPr>
        <w:t>Anomalie profonde de l'hémostase (</w:t>
      </w:r>
      <w:r>
        <w:rPr>
          <w:rFonts w:ascii="Times New Roman" w:hAnsi="Times New Roman"/>
        </w:rPr>
        <w:t>inf</w:t>
      </w:r>
      <w:r>
        <w:rPr>
          <w:rFonts w:ascii="Times New Roman" w:hAnsi="Times New Roman"/>
        </w:rPr>
        <w:t xml:space="preserve"> à 40% </w:t>
      </w:r>
      <w:r>
        <w:rPr>
          <w:rFonts w:ascii="Times New Roman" w:hAnsi="Times New Roman"/>
        </w:rPr>
        <w:t>ny</w:t>
      </w:r>
      <w:r>
        <w:rPr>
          <w:rFonts w:ascii="Times New Roman" w:hAnsi="Times New Roman"/>
        </w:rPr>
        <w:t xml:space="preserve"> possibilité de </w:t>
      </w:r>
      <w:r>
        <w:rPr>
          <w:rFonts w:ascii="Times New Roman" w:hAnsi="Times New Roman"/>
        </w:rPr>
        <w:t>l'hémostase )</w:t>
      </w:r>
      <w:r>
        <w:rPr>
          <w:rFonts w:ascii="Times New Roman" w:hAnsi="Times New Roman"/>
        </w:rPr>
        <w:t xml:space="preserve"> + hémorragie ou geste à risque chirurgical</w:t>
      </w:r>
    </w:p>
    <w:p>
      <w:pPr>
        <w:numPr>
          <w:ilvl w:val="6"/>
          <w:numId w:val="88"/>
        </w:numPr>
      </w:pPr>
      <w:r>
        <w:rPr>
          <w:rFonts w:ascii="Times New Roman" w:hAnsi="Times New Roman"/>
        </w:rPr>
        <w:t>Coagulopathies graves de consommation</w:t>
      </w:r>
    </w:p>
    <w:p>
      <w:pPr>
        <w:numPr>
          <w:ilvl w:val="6"/>
          <w:numId w:val="88"/>
        </w:numPr>
      </w:pPr>
      <w:r>
        <w:rPr>
          <w:rFonts w:ascii="Times New Roman" w:hAnsi="Times New Roman"/>
        </w:rPr>
        <w:t xml:space="preserve">Hémorragies aiguës avec déficit global de facteurs de coagulation (sup à 1 de la masse sanguine)  </w:t>
      </w:r>
    </w:p>
    <w:p>
      <w:pPr>
        <w:numPr>
          <w:ilvl w:val="6"/>
          <w:numId w:val="88"/>
        </w:numPr>
      </w:pPr>
      <w:r>
        <w:rPr>
          <w:rFonts w:ascii="Times New Roman" w:hAnsi="Times New Roman"/>
        </w:rPr>
        <w:t xml:space="preserve">Déficits en facteurs de coagulation </w:t>
      </w:r>
    </w:p>
    <w:p>
      <w:pPr>
        <w:numPr>
          <w:ilvl w:val="7"/>
          <w:numId w:val="88"/>
        </w:numPr>
      </w:pPr>
      <w:r>
        <w:rPr>
          <w:rFonts w:ascii="Times New Roman" w:hAnsi="Times New Roman"/>
        </w:rPr>
        <w:t xml:space="preserve">Pour lesquels des préparations concentrées ne sont pas disponibles </w:t>
      </w:r>
    </w:p>
    <w:p>
      <w:pPr>
        <w:numPr>
          <w:ilvl w:val="7"/>
          <w:numId w:val="88"/>
        </w:numPr>
      </w:pPr>
      <w:r>
        <w:rPr>
          <w:rFonts w:ascii="Times New Roman" w:hAnsi="Times New Roman"/>
          <w:i/>
        </w:rPr>
        <w:t>Afibrinogénémie:</w:t>
      </w:r>
      <w:r>
        <w:rPr>
          <w:rFonts w:ascii="Times New Roman" w:hAnsi="Times New Roman"/>
          <w:i/>
        </w:rPr>
        <w:t xml:space="preserve"> plasma no </w:t>
      </w:r>
      <w:r>
        <w:rPr>
          <w:rFonts w:ascii="Times New Roman" w:hAnsi="Times New Roman"/>
          <w:i/>
        </w:rPr>
        <w:t>atao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aminy</w:t>
      </w:r>
      <w:r>
        <w:rPr>
          <w:rFonts w:ascii="Times New Roman" w:hAnsi="Times New Roman"/>
          <w:i/>
        </w:rPr>
        <w:t xml:space="preserve"> PFC</w:t>
      </w:r>
    </w:p>
    <w:p>
      <w:pPr>
        <w:numPr>
          <w:ilvl w:val="5"/>
          <w:numId w:val="88"/>
        </w:numPr>
      </w:pPr>
      <w:r>
        <w:rPr>
          <w:rFonts w:ascii="Times New Roman" w:hAnsi="Times New Roman"/>
        </w:rPr>
        <w:t>Etat de choc avec hémoconcentration</w:t>
      </w:r>
    </w:p>
    <w:p>
      <w:pPr>
        <w:numPr>
          <w:ilvl w:val="5"/>
          <w:numId w:val="88"/>
        </w:numPr>
      </w:pPr>
      <w:r>
        <w:rPr>
          <w:rFonts w:ascii="Times New Roman" w:hAnsi="Times New Roman"/>
        </w:rPr>
        <w:t>Brûlures, traumatisme</w:t>
      </w:r>
    </w:p>
    <w:p>
      <w:pPr>
        <w:numPr>
          <w:ilvl w:val="5"/>
          <w:numId w:val="88"/>
        </w:numPr>
      </w:pPr>
      <w:r>
        <w:rPr>
          <w:rFonts w:ascii="Times New Roman" w:hAnsi="Times New Roman"/>
        </w:rPr>
        <w:t>Dénutrition, hypoprotidémies</w:t>
      </w:r>
    </w:p>
    <w:p>
      <w:pPr>
        <w:pStyle w:val="Heading6"/>
      </w:pPr>
      <w:r>
        <w:rPr/>
        <w:t>Microangiopathies thrombotiques</w:t>
      </w:r>
    </w:p>
    <w:p>
      <w:pPr>
        <w:numPr>
          <w:ilvl w:val="5"/>
          <w:numId w:val="88"/>
        </w:numPr>
      </w:pPr>
      <w:r>
        <w:rPr>
          <w:rFonts w:ascii="Times New Roman" w:hAnsi="Times New Roman"/>
        </w:rPr>
        <w:t>Syndrome hémolytique et urémique SHU</w:t>
      </w:r>
    </w:p>
    <w:p>
      <w:pPr>
        <w:numPr>
          <w:ilvl w:val="5"/>
          <w:numId w:val="88"/>
        </w:numPr>
      </w:pPr>
      <w:r>
        <w:rPr>
          <w:rFonts w:ascii="Times New Roman" w:hAnsi="Times New Roman"/>
        </w:rPr>
        <w:t xml:space="preserve">Purpura </w:t>
      </w:r>
      <w:r>
        <w:rPr>
          <w:rFonts w:ascii="Times New Roman" w:hAnsi="Times New Roman"/>
        </w:rPr>
        <w:t>thrombocytopénique</w:t>
      </w:r>
      <w:r>
        <w:rPr>
          <w:rFonts w:ascii="Times New Roman" w:hAnsi="Times New Roman"/>
        </w:rPr>
        <w:t xml:space="preserve"> thrombotique</w:t>
      </w:r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