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GLOMERULONEPHRITE AIGUË</w:t>
      </w:r>
    </w:p>
    <w:p>
      <w:pPr>
        <w:pStyle w:val="Heading2"/>
      </w:pPr>
      <w:r>
        <w:rPr>
          <w:rFonts w:ascii="Times New Roman" w:hAnsi="Times New Roman"/>
        </w:rPr>
        <w:t>Objectifs :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>Décrire les signes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>Citer les principales causes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 xml:space="preserve">Glomérulonéphrite proliférative sur le versant </w:t>
      </w:r>
      <w:r>
        <w:rPr>
          <w:rFonts w:ascii="Times New Roman" w:hAnsi="Times New Roman"/>
        </w:rPr>
        <w:t>endocapillaire</w:t>
      </w:r>
    </w:p>
    <w:p>
      <w:pPr/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60% des cas entre 2 à 12 ans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10% après 40 ans</w:t>
      </w:r>
    </w:p>
    <w:p>
      <w:pPr/>
    </w:p>
    <w:p>
      <w:pPr>
        <w:pStyle w:val="Heading3"/>
      </w:pPr>
      <w:r>
        <w:rPr>
          <w:rFonts w:ascii="Times New Roman" w:hAnsi="Times New Roman"/>
        </w:rPr>
        <w:t>PHYSIOPATHOLOGIE</w:t>
      </w:r>
    </w:p>
    <w:p>
      <w:pPr>
        <w:numPr>
          <w:ilvl w:val="0"/>
          <w:numId w:val="45"/>
        </w:numPr>
      </w:pPr>
      <w:r>
        <w:rPr>
          <w:rFonts w:ascii="Times New Roman" w:hAnsi="Times New Roman"/>
        </w:rPr>
        <w:t>Réponse immunologique à une infection, entraînant des lésions glomérulaires prolifératives rénales</w:t>
      </w:r>
    </w:p>
    <w:p>
      <w:pPr>
        <w:numPr>
          <w:ilvl w:val="0"/>
          <w:numId w:val="45"/>
        </w:numPr>
      </w:pPr>
      <w:r>
        <w:rPr>
          <w:rFonts w:ascii="Times New Roman" w:hAnsi="Times New Roman"/>
          <w:i/>
        </w:rPr>
        <w:t xml:space="preserve">Schémas : DES </w:t>
      </w:r>
      <w:r>
        <w:rPr>
          <w:rFonts w:ascii="Times New Roman" w:hAnsi="Times New Roman"/>
          <w:i/>
        </w:rPr>
        <w:t>PDF</w:t>
      </w:r>
    </w:p>
    <w:p>
      <w:pPr>
        <w:numPr>
          <w:ilvl w:val="0"/>
          <w:numId w:val="45"/>
        </w:numPr>
      </w:pPr>
      <w:r>
        <w:rPr>
          <w:rFonts w:ascii="Times New Roman" w:hAnsi="Times New Roman"/>
        </w:rPr>
        <w:t xml:space="preserve">Tableau de </w:t>
      </w:r>
      <w:r>
        <w:rPr>
          <w:rFonts w:ascii="Times New Roman" w:hAnsi="Times New Roman"/>
          <w:b/>
        </w:rPr>
        <w:t xml:space="preserve">maladie sérique aiguë </w:t>
      </w:r>
      <w:r>
        <w:rPr>
          <w:rFonts w:ascii="Times New Roman" w:hAnsi="Times New Roman"/>
        </w:rPr>
        <w:t xml:space="preserve">avec implication d’antigène, anticorps et complément = complexe immun circulant qui circule dans le sang et se dépose dans le rein pour déclencher une cascade </w:t>
      </w:r>
      <w:r>
        <w:rPr>
          <w:rFonts w:ascii="Times New Roman" w:hAnsi="Times New Roman"/>
        </w:rPr>
        <w:t>d’inflammation (</w:t>
      </w:r>
      <w:r>
        <w:rPr>
          <w:rFonts w:ascii="Times New Roman" w:hAnsi="Times New Roman"/>
          <w:i/>
        </w:rPr>
        <w:t>qui va créer le trou and MB et donner tous les signes)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 POSITIF</w:t>
      </w:r>
    </w:p>
    <w:p>
      <w:pPr>
        <w:pStyle w:val="Heading3"/>
      </w:pPr>
      <w:r>
        <w:rPr/>
        <w:t>Début Brutal :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Fièvre, céphalées, douleurs abdominale et lombaire, asthénie, anorexie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  <w:b/>
        </w:rPr>
        <w:t>Précédé d’un épisode infectieux (</w:t>
      </w:r>
      <w:r>
        <w:rPr>
          <w:rFonts w:ascii="Times New Roman" w:hAnsi="Times New Roman"/>
        </w:rPr>
        <w:t xml:space="preserve">angine, pharyngite, scarlatine, impétigo) </w:t>
      </w:r>
      <w:r>
        <w:rPr>
          <w:rFonts w:ascii="Times New Roman" w:hAnsi="Times New Roman"/>
          <w:b/>
        </w:rPr>
        <w:t xml:space="preserve">avec un </w:t>
      </w:r>
      <w:r>
        <w:rPr>
          <w:rFonts w:ascii="Times New Roman" w:hAnsi="Times New Roman"/>
          <w:b/>
          <w:u w:val="single"/>
        </w:rPr>
        <w:t>intervalle libre de 2 à 3 semaines</w:t>
      </w:r>
      <w:r>
        <w:rPr>
          <w:rFonts w:ascii="Times New Roman" w:hAnsi="Times New Roman"/>
          <w:b/>
        </w:rPr>
        <w:t xml:space="preserve"> (15-21j)</w:t>
      </w:r>
    </w:p>
    <w:p>
      <w:pPr>
        <w:pStyle w:val="Heading3"/>
      </w:pPr>
      <w:r>
        <w:rPr/>
        <w:t xml:space="preserve">Phase </w:t>
      </w:r>
      <w:r>
        <w:rPr/>
        <w:t>d’état :</w:t>
      </w:r>
      <w:r>
        <w:rPr/>
        <w:t xml:space="preserve"> </w:t>
      </w:r>
      <w:r>
        <w:rPr/>
        <w:t>syndrome néphritique aigu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Syndrome glomérulaire à début aigu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déclive :</w:t>
      </w:r>
      <w:r>
        <w:rPr>
          <w:rFonts w:ascii="Times New Roman" w:hAnsi="Times New Roman"/>
        </w:rPr>
        <w:t xml:space="preserve"> membres inférieurs, lombes, mains, visage, séreuses, poumons</w:t>
      </w:r>
    </w:p>
    <w:p>
      <w:pPr>
        <w:numPr>
          <w:ilvl w:val="2"/>
          <w:numId w:val="46"/>
        </w:numPr>
      </w:pPr>
      <w:r>
        <w:rPr>
          <w:rFonts w:ascii="Times New Roman" w:hAnsi="Times New Roman"/>
          <w:i/>
        </w:rPr>
        <w:t xml:space="preserve">Matin au visage, lombes et membre supérieur si reste couché, descend au cours de la journée si </w:t>
      </w:r>
      <w:r>
        <w:rPr>
          <w:rFonts w:ascii="Times New Roman" w:hAnsi="Times New Roman"/>
          <w:i/>
        </w:rPr>
        <w:t>marche :</w:t>
      </w:r>
      <w:r>
        <w:rPr>
          <w:rFonts w:ascii="Times New Roman" w:hAnsi="Times New Roman"/>
          <w:i/>
        </w:rPr>
        <w:t xml:space="preserve"> MI</w:t>
      </w:r>
    </w:p>
    <w:p>
      <w:pPr>
        <w:numPr>
          <w:ilvl w:val="2"/>
          <w:numId w:val="46"/>
        </w:numPr>
      </w:pPr>
      <w:r>
        <w:rPr>
          <w:rFonts w:ascii="Times New Roman" w:hAnsi="Times New Roman"/>
          <w:b/>
        </w:rPr>
        <w:t>=&gt; prise de poids (</w:t>
      </w:r>
      <w:r>
        <w:rPr>
          <w:rFonts w:ascii="Times New Roman" w:hAnsi="Times New Roman"/>
          <w:b/>
          <w:i/>
        </w:rPr>
        <w:t>PESER !!</w:t>
      </w:r>
      <w:r>
        <w:rPr>
          <w:rFonts w:ascii="Times New Roman" w:hAnsi="Times New Roman"/>
          <w:b/>
          <w:i/>
        </w:rPr>
        <w:t>)</w:t>
      </w:r>
    </w:p>
    <w:p>
      <w:pPr>
        <w:numPr>
          <w:ilvl w:val="1"/>
          <w:numId w:val="46"/>
        </w:numPr>
      </w:pPr>
      <w:r>
        <w:rPr>
          <w:rFonts w:ascii="Times New Roman" w:hAnsi="Times New Roman"/>
          <w:b/>
        </w:rPr>
        <w:t>HTA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Urines “bouillon sale”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Hématurie </w:t>
      </w:r>
      <w:r>
        <w:rPr>
          <w:rFonts w:ascii="Times New Roman" w:hAnsi="Times New Roman"/>
        </w:rPr>
        <w:t>macroscopique :</w:t>
      </w:r>
      <w:r>
        <w:rPr>
          <w:rFonts w:ascii="Times New Roman" w:hAnsi="Times New Roman"/>
        </w:rPr>
        <w:t xml:space="preserve"> 30% des cas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  <w:i/>
        </w:rPr>
        <w:t>Oligo(&lt;400</w:t>
      </w:r>
      <w:r>
        <w:rPr>
          <w:rFonts w:ascii="Times New Roman" w:hAnsi="Times New Roman"/>
          <w:i/>
        </w:rPr>
        <w:t>ml)</w:t>
      </w:r>
      <w:r>
        <w:rPr>
          <w:rFonts w:ascii="Times New Roman" w:hAnsi="Times New Roman"/>
        </w:rPr>
        <w:t xml:space="preserve"> -</w:t>
      </w:r>
      <w:r>
        <w:rPr>
          <w:rFonts w:ascii="Times New Roman" w:hAnsi="Times New Roman"/>
        </w:rPr>
        <w:t>anurie</w:t>
      </w:r>
      <w:r>
        <w:rPr>
          <w:rFonts w:ascii="Times New Roman" w:hAnsi="Times New Roman"/>
          <w:i/>
        </w:rPr>
        <w:t>(&lt;200ml)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Elévation urée - créatinine (sang)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Urines concentrées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Créatinine urine/créatininémie&gt;40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Natriurèse basse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Hyponatrémie, hyperkaliémie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Acidose 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Possible anémie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Protéinurie </w:t>
      </w:r>
      <w:r>
        <w:rPr>
          <w:rFonts w:ascii="Times New Roman" w:hAnsi="Times New Roman"/>
          <w:b/>
        </w:rPr>
        <w:t>non sélective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Hématurie + </w:t>
      </w:r>
      <w:r>
        <w:rPr>
          <w:rFonts w:ascii="Times New Roman" w:hAnsi="Times New Roman"/>
        </w:rPr>
        <w:t>cylindrurie</w:t>
      </w:r>
      <w:r>
        <w:rPr>
          <w:rFonts w:ascii="Times New Roman" w:hAnsi="Times New Roman"/>
        </w:rPr>
        <w:t xml:space="preserve"> hématique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  <w:b/>
        </w:rPr>
        <w:t>CH50 C3 C4 abaissés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Elévation transitoire des anticorps antistreptococciques (60 à 80% des cas), s’élevant en 1 à 3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emaines, maximum en 3 à 5 semaines et se normalisant en 6 </w:t>
      </w:r>
      <w:r>
        <w:rPr>
          <w:rFonts w:ascii="Times New Roman" w:hAnsi="Times New Roman"/>
        </w:rPr>
        <w:t>mois :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>Antistreptolysine O (ASLO)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>Antistreptodornase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Recherche d’un foyer infectieux, notamment streptococcique (ORL, stomatologique, cutané)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Recherche d’antigènes streptococciques</w:t>
      </w:r>
    </w:p>
    <w:p>
      <w:pPr>
        <w:pStyle w:val="Heading2"/>
      </w:pPr>
      <w:r>
        <w:rPr>
          <w:rFonts w:ascii="Times New Roman" w:hAnsi="Times New Roman"/>
        </w:rPr>
        <w:t>ANATOMIE PATHOLOGIQUE</w:t>
      </w:r>
    </w:p>
    <w:p>
      <w:pPr/>
      <w:r>
        <w:rPr>
          <w:rFonts w:ascii="Times New Roman" w:hAnsi="Times New Roman"/>
        </w:rPr>
        <w:t>(BIOPSIE RENALE)</w:t>
      </w:r>
    </w:p>
    <w:p>
      <w:pPr>
        <w:numPr>
          <w:ilvl w:val="0"/>
          <w:numId w:val="47"/>
        </w:numPr>
      </w:pPr>
      <w:r>
        <w:rPr>
          <w:rFonts w:ascii="Times New Roman" w:hAnsi="Times New Roman"/>
          <w:b/>
          <w:u w:val="single"/>
        </w:rPr>
        <w:t xml:space="preserve">Microscopie </w:t>
      </w:r>
      <w:r>
        <w:rPr>
          <w:rFonts w:ascii="Times New Roman" w:hAnsi="Times New Roman"/>
          <w:b/>
          <w:u w:val="single"/>
        </w:rPr>
        <w:t>optique :</w:t>
      </w:r>
    </w:p>
    <w:p>
      <w:pPr>
        <w:ind w:left="1440"/>
        <w:numPr>
          <w:ilvl w:val="0"/>
          <w:numId w:val="48"/>
        </w:numPr>
      </w:pPr>
      <w:r>
        <w:rPr>
          <w:rFonts w:ascii="Times New Roman" w:hAnsi="Times New Roman"/>
        </w:rPr>
        <w:t xml:space="preserve">Encombrement des lumières des anses capillaires par une </w:t>
      </w:r>
      <w:r>
        <w:rPr>
          <w:rFonts w:ascii="Times New Roman" w:hAnsi="Times New Roman"/>
          <w:b/>
        </w:rPr>
        <w:t xml:space="preserve">prolifération </w:t>
      </w:r>
      <w:r>
        <w:rPr>
          <w:rFonts w:ascii="Times New Roman" w:hAnsi="Times New Roman"/>
          <w:b/>
          <w:u w:val="single"/>
        </w:rPr>
        <w:t>endocapillaire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composée de cellules mésangiales, endothéliales</w:t>
      </w:r>
    </w:p>
    <w:p>
      <w:pPr>
        <w:ind w:left="1440"/>
        <w:numPr>
          <w:ilvl w:val="0"/>
          <w:numId w:val="48"/>
        </w:numPr>
      </w:pPr>
      <w:r>
        <w:rPr>
          <w:rFonts w:ascii="Times New Roman" w:hAnsi="Times New Roman"/>
        </w:rPr>
        <w:t xml:space="preserve">Exsudat de nombreux polynucléaires dans le floculus, avec volumineux dépôts </w:t>
      </w:r>
      <w:r>
        <w:rPr>
          <w:rFonts w:ascii="Times New Roman" w:hAnsi="Times New Roman"/>
        </w:rPr>
        <w:t>extramembraneux</w:t>
      </w:r>
      <w:r>
        <w:rPr>
          <w:rFonts w:ascii="Times New Roman" w:hAnsi="Times New Roman"/>
        </w:rPr>
        <w:t xml:space="preserve"> caractéristiques en forme de </w:t>
      </w:r>
      <w:r>
        <w:rPr>
          <w:rFonts w:ascii="Times New Roman" w:hAnsi="Times New Roman"/>
          <w:b/>
        </w:rPr>
        <w:t xml:space="preserve">Chapeau de gendarme : </w:t>
      </w:r>
      <w:r>
        <w:rPr>
          <w:rFonts w:ascii="Times New Roman" w:hAnsi="Times New Roman"/>
          <w:b/>
          <w:u w:val="single"/>
        </w:rPr>
        <w:t>humps</w:t>
      </w:r>
    </w:p>
    <w:p>
      <w:pPr>
        <w:ind w:left="1440"/>
        <w:numPr>
          <w:ilvl w:val="0"/>
          <w:numId w:val="48"/>
        </w:numPr>
      </w:pPr>
      <w:r>
        <w:drawing>
          <wp:inline xmlns:a="http://schemas.openxmlformats.org/drawingml/2006/main" xmlns:pic="http://schemas.openxmlformats.org/drawingml/2006/picture">
            <wp:extent cx="12420600" cy="902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902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  <w:u w:val="single"/>
        </w:rPr>
        <w:t>Immunofluorescence :</w:t>
      </w:r>
      <w:r>
        <w:rPr>
          <w:rFonts w:ascii="Times New Roman" w:hAnsi="Times New Roman"/>
        </w:rPr>
        <w:t xml:space="preserve"> fixation granuleuse très abondante des sérums anti-C3 et rarement d’</w:t>
      </w:r>
      <w:r>
        <w:rPr>
          <w:rFonts w:ascii="Times New Roman" w:hAnsi="Times New Roman"/>
        </w:rPr>
        <w:t>anti-IgG</w:t>
      </w:r>
      <w:r>
        <w:rPr>
          <w:rFonts w:ascii="Times New Roman" w:hAnsi="Times New Roman"/>
        </w:rPr>
        <w:t xml:space="preserve"> suivant la même distribution que celle des </w:t>
      </w:r>
      <w:r>
        <w:rPr>
          <w:rFonts w:ascii="Times New Roman" w:hAnsi="Times New Roman"/>
        </w:rPr>
        <w:t>humps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cf</w:t>
      </w:r>
      <w:r>
        <w:rPr>
          <w:rFonts w:ascii="Times New Roman" w:hAnsi="Times New Roman"/>
        </w:rPr>
        <w:t xml:space="preserve"> DESrein2 </w:t>
      </w:r>
      <w:r>
        <w:rPr>
          <w:rFonts w:ascii="Times New Roman" w:hAnsi="Times New Roman"/>
        </w:rPr>
        <w:t>PDF</w:t>
      </w:r>
      <w:r>
        <w:rPr>
          <w:rFonts w:ascii="Times New Roman" w:hAnsi="Times New Roman"/>
        </w:rPr>
        <w:t xml:space="preserve"> page 40)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  <w:u w:val="single"/>
        </w:rPr>
        <w:t xml:space="preserve">Microscopie </w:t>
      </w:r>
      <w:r>
        <w:rPr>
          <w:rFonts w:ascii="Times New Roman" w:hAnsi="Times New Roman"/>
          <w:b/>
          <w:u w:val="single"/>
        </w:rPr>
        <w:t>électronique :</w:t>
      </w:r>
      <w:r>
        <w:rPr>
          <w:rFonts w:ascii="Times New Roman" w:hAnsi="Times New Roman"/>
        </w:rPr>
        <w:t xml:space="preserve"> dépôts sous-épithéliaux (</w:t>
      </w:r>
      <w:r>
        <w:rPr>
          <w:rFonts w:ascii="Times New Roman" w:hAnsi="Times New Roman"/>
          <w:i/>
        </w:rPr>
        <w:t>épithélium = cellule and membrane capsulaire)</w:t>
      </w:r>
    </w:p>
    <w:p>
      <w:pPr/>
    </w:p>
    <w:p>
      <w:pPr>
        <w:pStyle w:val="Heading2"/>
      </w:pPr>
      <w:r>
        <w:rPr>
          <w:rFonts w:ascii="Times New Roman" w:hAnsi="Times New Roman"/>
        </w:rPr>
        <w:t>CAUSES</w:t>
      </w:r>
    </w:p>
    <w:p>
      <w:pPr>
        <w:numPr>
          <w:ilvl w:val="0"/>
          <w:numId w:val="50"/>
        </w:numPr>
      </w:pPr>
      <w:r>
        <w:rPr>
          <w:rFonts w:ascii="Times New Roman" w:hAnsi="Times New Roman"/>
          <w:b/>
          <w:u w:val="single"/>
        </w:rPr>
        <w:t xml:space="preserve">Streptocoque beta-hémolytique du groupe A12 : </w:t>
      </w:r>
      <w:r>
        <w:rPr>
          <w:rFonts w:ascii="Times New Roman" w:hAnsi="Times New Roman"/>
          <w:b/>
          <w:u w:val="single"/>
        </w:rPr>
        <w:t>néphritogène</w:t>
      </w:r>
      <w:r>
        <w:rPr>
          <w:rFonts w:ascii="Times New Roman" w:hAnsi="Times New Roman"/>
          <w:b/>
          <w:u w:val="single"/>
        </w:rPr>
        <w:t xml:space="preserve"> </w:t>
      </w:r>
      <w:r>
        <w:rPr>
          <w:rFonts w:ascii="Times New Roman" w:hAnsi="Times New Roman"/>
          <w:b/>
          <w:u w:val="single"/>
        </w:rPr>
        <w:t>(angine</w:t>
      </w:r>
      <w:r>
        <w:rPr>
          <w:rFonts w:ascii="Times New Roman" w:hAnsi="Times New Roman"/>
          <w:b/>
          <w:u w:val="single"/>
        </w:rPr>
        <w:t>)</w:t>
      </w:r>
    </w:p>
    <w:p>
      <w:pPr>
        <w:numPr>
          <w:ilvl w:val="0"/>
          <w:numId w:val="50"/>
        </w:numPr>
      </w:pPr>
      <w:r>
        <w:rPr>
          <w:rFonts w:ascii="Times New Roman" w:hAnsi="Times New Roman"/>
          <w:u w:val="single"/>
        </w:rPr>
        <w:t>Staphylocoque (impétigo)</w:t>
      </w:r>
    </w:p>
    <w:p>
      <w:pPr>
        <w:numPr>
          <w:ilvl w:val="0"/>
          <w:numId w:val="50"/>
        </w:numPr>
      </w:pPr>
      <w:r>
        <w:rPr>
          <w:rFonts w:ascii="Times New Roman" w:hAnsi="Times New Roman"/>
          <w:u w:val="single"/>
        </w:rPr>
        <w:t>Pneumocoque (pneumopathie)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Méningocoque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Herpès virus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Coxsakie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Echovirus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Adénovirus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Virus des hépatites</w:t>
      </w:r>
    </w:p>
    <w:p>
      <w:pPr/>
    </w:p>
    <w:p>
      <w:pPr>
        <w:pStyle w:val="Heading2"/>
      </w:pPr>
      <w:r>
        <w:rPr>
          <w:rFonts w:ascii="Times New Roman" w:hAnsi="Times New Roman"/>
        </w:rPr>
        <w:t>COMPLICATIONS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 xml:space="preserve">HTA avec </w:t>
      </w: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cérébral, et </w:t>
      </w: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pulmonaire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Anurie initiale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Détérioration rapide de la fonction rénale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Mortalité à la phase aiguë &lt; 0,5%</w:t>
      </w:r>
    </w:p>
    <w:p>
      <w:pPr/>
    </w:p>
    <w:p>
      <w:pPr>
        <w:pStyle w:val="Heading2"/>
      </w:pPr>
      <w:r>
        <w:rPr>
          <w:rFonts w:ascii="Times New Roman" w:hAnsi="Times New Roman"/>
        </w:rPr>
        <w:t>EVOLUTION ET PRONOSTIC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>Régression</w:t>
      </w:r>
      <w:r>
        <w:rPr>
          <w:rFonts w:ascii="Times New Roman" w:hAnsi="Times New Roman"/>
        </w:rPr>
        <w:t xml:space="preserve"> des signes après 48h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>Protéinurie peut persister jusqu’au 6ème mois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>Hématurie microscopique peut persister pendant 12 mois</w:t>
      </w:r>
      <w:r>
        <w:rPr>
          <w:rFonts w:ascii="Times New Roman" w:hAnsi="Times New Roman"/>
        </w:rPr>
        <w:br/>
      </w:r>
    </w:p>
    <w:p>
      <w:pPr>
        <w:numPr>
          <w:ilvl w:val="0"/>
          <w:numId w:val="52"/>
        </w:numPr>
      </w:pPr>
      <w:r>
        <w:rPr>
          <w:rFonts w:ascii="Times New Roman" w:hAnsi="Times New Roman"/>
          <w:b/>
        </w:rPr>
        <w:t>Remontée rapide de C4 et plus lente de C3 et CH50, normale en 1 mois (</w:t>
      </w:r>
      <w:r>
        <w:rPr>
          <w:rFonts w:ascii="Times New Roman" w:hAnsi="Times New Roman"/>
          <w:b/>
          <w:i/>
        </w:rPr>
        <w:t>pour différencier avec GEM)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>Régime désodé strict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>Restriction hydrique (fonction de la natrémie et de l’</w:t>
      </w: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>)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 xml:space="preserve">Diurétique si </w:t>
      </w:r>
      <w:r>
        <w:rPr>
          <w:rFonts w:ascii="Times New Roman" w:hAnsi="Times New Roman"/>
        </w:rPr>
        <w:t>œdème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>Hémodialyse ou dialyse péritonéale si besoin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>Contrôle de l’HTA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>Acidose métabolique : administration de bicarbonate</w:t>
      </w:r>
    </w:p>
    <w:p>
      <w:pPr>
        <w:numPr>
          <w:ilvl w:val="0"/>
          <w:numId w:val="53"/>
        </w:numPr>
      </w:pPr>
      <w:r>
        <w:rPr>
          <w:rFonts w:ascii="Times New Roman" w:hAnsi="Times New Roman"/>
          <w:u w:val="single"/>
        </w:rPr>
        <w:t xml:space="preserve">Infection </w:t>
      </w:r>
      <w:r>
        <w:rPr>
          <w:rFonts w:ascii="Times New Roman" w:hAnsi="Times New Roman"/>
          <w:u w:val="single"/>
        </w:rPr>
        <w:t>patente :</w:t>
      </w:r>
      <w:r>
        <w:rPr>
          <w:rFonts w:ascii="Times New Roman" w:hAnsi="Times New Roman"/>
          <w:u w:val="single"/>
        </w:rPr>
        <w:t xml:space="preserve"> antibiothérapie adaptée aux foyers infectieux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 xml:space="preserve">Si </w:t>
      </w:r>
      <w:r>
        <w:rPr>
          <w:rFonts w:ascii="Times New Roman" w:hAnsi="Times New Roman"/>
        </w:rPr>
        <w:t>streptocoque :</w:t>
      </w:r>
      <w:r>
        <w:rPr>
          <w:rFonts w:ascii="Times New Roman" w:hAnsi="Times New Roman"/>
        </w:rPr>
        <w:t xml:space="preserve"> pénicilline ou amoxicilline (10j)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