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GLOMERULONEPHRITE EXTRA-MEMBRANEUSE(GNEM)</w:t>
      </w:r>
    </w:p>
    <w:p>
      <w:pPr>
        <w:pStyle w:val="Heading2"/>
      </w:pPr>
      <w:r>
        <w:rPr>
          <w:rFonts w:ascii="Times New Roman" w:hAnsi="Times New Roman"/>
        </w:rPr>
        <w:t>Objectifs :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>Décrire les signes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>Citer les causes</w:t>
      </w:r>
    </w:p>
    <w:p>
      <w:pPr/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 xml:space="preserve">Les lésions histologiques touchent le </w:t>
      </w:r>
      <w:r>
        <w:rPr>
          <w:rFonts w:ascii="Times New Roman" w:hAnsi="Times New Roman"/>
          <w:b/>
        </w:rPr>
        <w:t xml:space="preserve">versant externe </w:t>
      </w:r>
      <w:r>
        <w:rPr>
          <w:rFonts w:ascii="Times New Roman" w:hAnsi="Times New Roman"/>
        </w:rPr>
        <w:t>sous épithéliale de la membrane basale</w:t>
      </w:r>
    </w:p>
    <w:p>
      <w:pPr/>
    </w:p>
    <w:p>
      <w:pPr>
        <w:pStyle w:val="Heading3"/>
      </w:pPr>
      <w:r>
        <w:rPr>
          <w:rFonts w:ascii="Times New Roman" w:hAnsi="Times New Roman"/>
        </w:rPr>
        <w:t>EPIDEMIOLOGIE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/>
          </w:p>
        </w:tc>
        <w:tc>
          <w:tcPr>
            <w:tcW w:type="dxa" w:w="3080"/>
          </w:tcPr>
          <w:p/>
          <w:p>
            <w:pPr/>
            <w:r>
              <w:rPr>
                <w:rFonts w:ascii="Times New Roman" w:hAnsi="Times New Roman"/>
              </w:rPr>
              <w:t>Enfant</w:t>
            </w:r>
          </w:p>
        </w:tc>
        <w:tc>
          <w:tcPr>
            <w:tcW w:type="dxa" w:w="3080"/>
          </w:tcPr>
          <w:p/>
          <w:p>
            <w:pPr/>
            <w:r>
              <w:rPr>
                <w:rFonts w:ascii="Times New Roman" w:hAnsi="Times New Roman"/>
              </w:rPr>
              <w:t>Adulte</w:t>
            </w:r>
          </w:p>
        </w:tc>
      </w:tr>
      <w:tr>
        <w:tc>
          <w:tcPr>
            <w:tcW w:type="dxa" w:w="3080"/>
          </w:tcPr>
          <w:p/>
          <w:p>
            <w:pPr/>
            <w:r>
              <w:rPr>
                <w:rFonts w:ascii="Times New Roman" w:hAnsi="Times New Roman"/>
              </w:rPr>
              <w:t>GNEM</w:t>
            </w:r>
          </w:p>
        </w:tc>
        <w:tc>
          <w:tcPr>
            <w:tcW w:type="dxa" w:w="3080"/>
          </w:tcPr>
          <w:p/>
          <w:p>
            <w:pPr/>
            <w:r>
              <w:rPr>
                <w:rFonts w:ascii="Times New Roman" w:hAnsi="Times New Roman"/>
              </w:rPr>
              <w:t>7%</w:t>
            </w:r>
          </w:p>
        </w:tc>
        <w:tc>
          <w:tcPr>
            <w:tcW w:type="dxa" w:w="3080"/>
          </w:tcPr>
          <w:p/>
          <w:p>
            <w:pPr/>
            <w:r>
              <w:rPr>
                <w:rFonts w:ascii="Times New Roman" w:hAnsi="Times New Roman"/>
              </w:rPr>
              <w:t>40%</w:t>
            </w:r>
          </w:p>
        </w:tc>
      </w:tr>
    </w:tbl>
    <w:p>
      <w:pPr/>
    </w:p>
    <w:p>
      <w:pPr>
        <w:pStyle w:val="Heading2"/>
      </w:pPr>
      <w:r>
        <w:rPr>
          <w:rFonts w:ascii="Times New Roman" w:hAnsi="Times New Roman"/>
        </w:rPr>
        <w:t>DIAGNOSTIC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 xml:space="preserve">Syndrome néphrotique impur </w:t>
      </w:r>
      <w:r>
        <w:rPr>
          <w:rFonts w:ascii="Times New Roman" w:hAnsi="Times New Roman"/>
          <w:b/>
        </w:rPr>
        <w:t>progressif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HTA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Insuffisance rénale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Hématurie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Protéinurie variable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Thrombose veineuse profonde (rénale) =</w:t>
      </w:r>
      <w:r>
        <w:rPr>
          <w:rFonts w:ascii="Times New Roman" w:hAnsi="Times New Roman"/>
          <w:i/>
        </w:rPr>
        <w:t xml:space="preserve"> particularité de la </w:t>
      </w:r>
      <w:r>
        <w:rPr>
          <w:rFonts w:ascii="Times New Roman" w:hAnsi="Times New Roman"/>
          <w:i/>
        </w:rPr>
        <w:t>maladie :</w:t>
      </w:r>
      <w:r>
        <w:rPr>
          <w:rFonts w:ascii="Times New Roman" w:hAnsi="Times New Roman"/>
          <w:i/>
        </w:rPr>
        <w:t xml:space="preserve"> douleur abdominale + élévation+++ de la créatininémie</w:t>
      </w:r>
    </w:p>
    <w:p>
      <w:pPr>
        <w:numPr>
          <w:ilvl w:val="0"/>
          <w:numId w:val="27"/>
        </w:numPr>
      </w:pPr>
      <w:r>
        <w:rPr>
          <w:rFonts w:ascii="Times New Roman" w:hAnsi="Times New Roman"/>
          <w:b/>
        </w:rPr>
        <w:t xml:space="preserve">PBR systématique </w:t>
      </w:r>
      <w:r>
        <w:rPr>
          <w:rFonts w:ascii="Times New Roman" w:hAnsi="Times New Roman"/>
          <w:i/>
        </w:rPr>
        <w:t>si sans contre-indication</w:t>
      </w:r>
    </w:p>
    <w:p>
      <w:pPr>
        <w:numPr>
          <w:ilvl w:val="0"/>
          <w:numId w:val="27"/>
        </w:numPr>
      </w:pPr>
      <w:r>
        <w:rPr>
          <w:rFonts w:ascii="Times New Roman" w:hAnsi="Times New Roman"/>
          <w:i/>
        </w:rPr>
        <w:t>En pratique : en néphrologie, si le 1er traitement ne marche pas, on fait la PBR</w:t>
      </w:r>
    </w:p>
    <w:p>
      <w:pPr/>
    </w:p>
    <w:p>
      <w:pPr>
        <w:pStyle w:val="Heading2"/>
      </w:pPr>
      <w:r>
        <w:rPr>
          <w:rFonts w:ascii="Times New Roman" w:hAnsi="Times New Roman"/>
        </w:rPr>
        <w:t>ANATOMIE PATHOLOGIQUE</w:t>
      </w:r>
    </w:p>
    <w:p>
      <w:pPr>
        <w:numPr>
          <w:ilvl w:val="0"/>
          <w:numId w:val="28"/>
        </w:numPr>
      </w:pPr>
      <w:r>
        <w:rPr>
          <w:rFonts w:ascii="Times New Roman" w:hAnsi="Times New Roman"/>
          <w:b/>
        </w:rPr>
        <w:t xml:space="preserve">Microscopie </w:t>
      </w:r>
      <w:r>
        <w:rPr>
          <w:rFonts w:ascii="Times New Roman" w:hAnsi="Times New Roman"/>
          <w:b/>
        </w:rPr>
        <w:t>Optique 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épaississement régulier et diffus des parois capillaires</w:t>
      </w:r>
    </w:p>
    <w:p>
      <w:pPr>
        <w:numPr>
          <w:ilvl w:val="0"/>
          <w:numId w:val="28"/>
        </w:numPr>
      </w:pPr>
      <w:r>
        <w:rPr>
          <w:rFonts w:ascii="Times New Roman" w:hAnsi="Times New Roman"/>
          <w:b/>
        </w:rPr>
        <w:t>Pas de prolifération cellulaire</w:t>
      </w:r>
    </w:p>
    <w:p>
      <w:pPr>
        <w:numPr>
          <w:ilvl w:val="0"/>
          <w:numId w:val="28"/>
        </w:numPr>
      </w:pPr>
      <w:r>
        <w:rPr>
          <w:rFonts w:ascii="Times New Roman" w:hAnsi="Times New Roman"/>
          <w:b/>
        </w:rPr>
        <w:t xml:space="preserve">Imprégnation argentique </w:t>
      </w:r>
      <w:r>
        <w:rPr>
          <w:rFonts w:ascii="Times New Roman" w:hAnsi="Times New Roman"/>
        </w:rPr>
        <w:t xml:space="preserve">colorant les fibres collagènes : expansion perpendiculaire à la membrane </w:t>
      </w:r>
      <w:r>
        <w:rPr>
          <w:rFonts w:ascii="Times New Roman" w:hAnsi="Times New Roman"/>
        </w:rPr>
        <w:t>basale (</w:t>
      </w:r>
      <w:r>
        <w:rPr>
          <w:rFonts w:ascii="Times New Roman" w:hAnsi="Times New Roman"/>
        </w:rPr>
        <w:t xml:space="preserve">SPIKE) =&gt; aspect hérissé et </w:t>
      </w:r>
      <w:r>
        <w:rPr>
          <w:rFonts w:ascii="Times New Roman" w:hAnsi="Times New Roman"/>
        </w:rPr>
        <w:t>dentelé</w:t>
      </w:r>
      <w:r>
        <w:rPr>
          <w:rFonts w:ascii="Times New Roman" w:hAnsi="Times New Roman"/>
        </w:rPr>
        <w:t xml:space="preserve"> de la membrane basale</w:t>
      </w:r>
    </w:p>
    <w:p>
      <w:pPr>
        <w:numPr>
          <w:ilvl w:val="0"/>
          <w:numId w:val="28"/>
        </w:numPr>
      </w:pPr>
      <w:r>
        <w:rPr>
          <w:rFonts w:ascii="Times New Roman" w:hAnsi="Times New Roman"/>
        </w:rPr>
        <w:t xml:space="preserve">Entre ces SPIKES se trouvent les dépôts </w:t>
      </w:r>
      <w:r>
        <w:rPr>
          <w:rFonts w:ascii="Times New Roman" w:hAnsi="Times New Roman"/>
        </w:rPr>
        <w:t>extramembraneux</w:t>
      </w:r>
      <w:r>
        <w:rPr>
          <w:rFonts w:ascii="Times New Roman" w:hAnsi="Times New Roman"/>
        </w:rPr>
        <w:t xml:space="preserve"> d’Immunoglobuline</w:t>
      </w:r>
    </w:p>
    <w:p>
      <w:pPr>
        <w:numPr>
          <w:ilvl w:val="1"/>
          <w:numId w:val="28"/>
        </w:numPr>
      </w:pPr>
      <w:r>
        <w:drawing>
          <wp:inline xmlns:a="http://schemas.openxmlformats.org/drawingml/2006/main" xmlns:pic="http://schemas.openxmlformats.org/drawingml/2006/picture">
            <wp:extent cx="8039099" cy="500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9099" cy="500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8"/>
        </w:numPr>
      </w:pPr>
      <w:r>
        <w:rPr>
          <w:rFonts w:ascii="Times New Roman" w:hAnsi="Times New Roman"/>
          <w:b/>
        </w:rPr>
        <w:t>Immunofluorescence 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dépôt </w:t>
      </w:r>
      <w:r>
        <w:rPr>
          <w:rFonts w:ascii="Times New Roman" w:hAnsi="Times New Roman"/>
        </w:rPr>
        <w:t>extramembraneux</w:t>
      </w:r>
      <w:r>
        <w:rPr>
          <w:rFonts w:ascii="Times New Roman" w:hAnsi="Times New Roman"/>
        </w:rPr>
        <w:t xml:space="preserve"> d’</w:t>
      </w:r>
      <w:r>
        <w:rPr>
          <w:rFonts w:ascii="Times New Roman" w:hAnsi="Times New Roman"/>
        </w:rPr>
        <w:t>Ig</w:t>
      </w:r>
      <w:r>
        <w:rPr>
          <w:rFonts w:ascii="Times New Roman" w:hAnsi="Times New Roman"/>
        </w:rPr>
        <w:t xml:space="preserve"> coloré par les </w:t>
      </w:r>
      <w:r>
        <w:rPr>
          <w:rFonts w:ascii="Times New Roman" w:hAnsi="Times New Roman"/>
        </w:rPr>
        <w:t>anti-IgG</w:t>
      </w:r>
      <w:r>
        <w:rPr>
          <w:rFonts w:ascii="Times New Roman" w:hAnsi="Times New Roman"/>
        </w:rPr>
        <w:t xml:space="preserve"> et anti-C3 =&gt; Fixation granuleuse caractéristique</w:t>
      </w:r>
    </w:p>
    <w:p>
      <w:pPr/>
    </w:p>
    <w:p>
      <w:pPr>
        <w:pStyle w:val="Heading2"/>
      </w:pPr>
      <w:r>
        <w:rPr>
          <w:rFonts w:ascii="Times New Roman" w:hAnsi="Times New Roman"/>
        </w:rPr>
        <w:t>CAUSES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PRIMITIVE (85%)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MEDICAMENTS :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b/>
        </w:rPr>
        <w:t>AINS++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D-</w:t>
      </w:r>
      <w:r>
        <w:rPr>
          <w:rFonts w:ascii="Times New Roman" w:hAnsi="Times New Roman"/>
        </w:rPr>
        <w:t>Pénicillamine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Probénécide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Sels de Mercure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Sels d’or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Trimethadione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INFECTIONS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Filariose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Hydatidose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Lèpre (+ amylose AA)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b/>
        </w:rPr>
        <w:t>Bilharziose (</w:t>
      </w:r>
      <w:r>
        <w:rPr>
          <w:rFonts w:ascii="Times New Roman" w:hAnsi="Times New Roman"/>
        </w:rPr>
        <w:t xml:space="preserve">+ amylose AA) </w:t>
      </w:r>
      <w:r>
        <w:rPr>
          <w:rFonts w:ascii="Times New Roman" w:hAnsi="Times New Roman"/>
          <w:i/>
        </w:rPr>
        <w:t xml:space="preserve">(amylose </w:t>
      </w:r>
      <w:r>
        <w:rPr>
          <w:rFonts w:ascii="Times New Roman" w:hAnsi="Times New Roman"/>
          <w:i/>
        </w:rPr>
        <w:t>secondaire :</w:t>
      </w:r>
      <w:r>
        <w:rPr>
          <w:rFonts w:ascii="Times New Roman" w:hAnsi="Times New Roman"/>
          <w:i/>
        </w:rPr>
        <w:t xml:space="preserve"> une maladie inflammatoire entraîne la production de substance amyloïdes qui vont aller vers les reins)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b/>
        </w:rPr>
        <w:t>Paludisme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b/>
        </w:rPr>
        <w:t>Streptococcie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b/>
        </w:rPr>
        <w:t>Syphilis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b/>
        </w:rPr>
        <w:t xml:space="preserve">VHB, VHC ou VIH 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NEOPLASIES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Leucémies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Lymphomes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Maladie de Hodgkin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Cancers : poumon, colon, estomac, rein, sein, prostate, mélanomes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=&gt;”</w:t>
      </w:r>
      <w:r>
        <w:rPr>
          <w:rFonts w:ascii="Times New Roman" w:hAnsi="Times New Roman"/>
          <w:i/>
        </w:rPr>
        <w:t>demande d’échographie abdomino-pelvienne dès que la créatininémie augmente”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i/>
        </w:rPr>
        <w:t>=&gt; examens selon les signes d’appels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MALADIES SYSTEMIQUES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b/>
        </w:rPr>
        <w:t>Lupus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Connectivite mixte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  <w:b/>
        </w:rPr>
        <w:t>Polyarthrite rhumatoïde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 xml:space="preserve">Syndrome de </w:t>
      </w:r>
      <w:r>
        <w:rPr>
          <w:rFonts w:ascii="Times New Roman" w:hAnsi="Times New Roman"/>
        </w:rPr>
        <w:t>Sjögren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Dermatomyosite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Sarcoïdose (</w:t>
      </w:r>
      <w:r>
        <w:rPr>
          <w:rFonts w:ascii="Times New Roman" w:hAnsi="Times New Roman"/>
          <w:i/>
        </w:rPr>
        <w:t>hypercalcémie)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Spondylarthrite ankylosante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 xml:space="preserve">AUTRES : 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Drépanocytose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Thyroïdite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Pemphigoïde bulleuse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Réaction greffon contre l’hôte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Cirrhose biliaire primitive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Dermatite herpétiforme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Syndrome de Guillain Barré</w:t>
      </w:r>
    </w:p>
    <w:p>
      <w:pPr/>
    </w:p>
    <w:p>
      <w:pPr>
        <w:pStyle w:val="Heading2"/>
      </w:pPr>
      <w:r>
        <w:rPr>
          <w:rFonts w:ascii="Times New Roman" w:hAnsi="Times New Roman"/>
        </w:rPr>
        <w:t>EVOLUTION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Rémission spontanée : 30%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Persistance de la protéinurie sans IR : 50%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Aggravation lente vers l’IRC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Rémission sous traitement : 88% (10 ans)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Le traitement étiologique fait régresser les dépôts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pStyle w:val="Heading3"/>
      </w:pPr>
      <w:r>
        <w:rPr>
          <w:rFonts w:ascii="Times New Roman" w:hAnsi="Times New Roman"/>
        </w:rPr>
        <w:t>TRAITEMENT NON SPECIFIQUE</w:t>
      </w:r>
    </w:p>
    <w:p>
      <w:pPr>
        <w:numPr>
          <w:ilvl w:val="0"/>
          <w:numId w:val="31"/>
        </w:numPr>
      </w:pPr>
      <w:r>
        <w:rPr>
          <w:rFonts w:ascii="Times New Roman" w:hAnsi="Times New Roman"/>
        </w:rPr>
        <w:t>Restriction sodée</w:t>
      </w:r>
    </w:p>
    <w:p>
      <w:pPr>
        <w:numPr>
          <w:ilvl w:val="0"/>
          <w:numId w:val="31"/>
        </w:numPr>
      </w:pPr>
      <w:r>
        <w:rPr>
          <w:rFonts w:ascii="Times New Roman" w:hAnsi="Times New Roman"/>
        </w:rPr>
        <w:t>Diurétiques (</w:t>
      </w:r>
      <w:r>
        <w:rPr>
          <w:rFonts w:ascii="Times New Roman" w:hAnsi="Times New Roman"/>
          <w:i/>
        </w:rPr>
        <w:t>jusqu’à 1g)</w:t>
      </w:r>
    </w:p>
    <w:p>
      <w:pPr>
        <w:numPr>
          <w:ilvl w:val="0"/>
          <w:numId w:val="31"/>
        </w:numPr>
      </w:pPr>
      <w:r>
        <w:rPr>
          <w:rFonts w:ascii="Times New Roman" w:hAnsi="Times New Roman"/>
        </w:rPr>
        <w:t>IEC +/- ARA2 (</w:t>
      </w:r>
      <w:r>
        <w:rPr>
          <w:rFonts w:ascii="Times New Roman" w:hAnsi="Times New Roman"/>
          <w:b/>
        </w:rPr>
        <w:t xml:space="preserve">6 </w:t>
      </w:r>
      <w:r>
        <w:rPr>
          <w:rFonts w:ascii="Times New Roman" w:hAnsi="Times New Roman"/>
          <w:b/>
        </w:rPr>
        <w:t>mois) (</w:t>
      </w:r>
      <w:r>
        <w:rPr>
          <w:rFonts w:ascii="Times New Roman" w:hAnsi="Times New Roman"/>
          <w:i/>
        </w:rPr>
        <w:t>néphroprotection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ilay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atao</w:t>
      </w:r>
      <w:r>
        <w:rPr>
          <w:rFonts w:ascii="Times New Roman" w:hAnsi="Times New Roman"/>
          <w:i/>
        </w:rPr>
        <w:t>)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 xml:space="preserve">=&gt; </w:t>
      </w:r>
      <w:r>
        <w:rPr>
          <w:rFonts w:ascii="Times New Roman" w:hAnsi="Times New Roman"/>
        </w:rPr>
        <w:t>cible :</w:t>
      </w:r>
      <w:r>
        <w:rPr>
          <w:rFonts w:ascii="Times New Roman" w:hAnsi="Times New Roman"/>
        </w:rPr>
        <w:t xml:space="preserve"> TA &lt; 130/80 mmHg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 xml:space="preserve">=&gt; </w:t>
      </w:r>
      <w:r>
        <w:rPr>
          <w:rFonts w:ascii="Times New Roman" w:hAnsi="Times New Roman"/>
        </w:rPr>
        <w:t>objectif :</w:t>
      </w:r>
      <w:r>
        <w:rPr>
          <w:rFonts w:ascii="Times New Roman" w:hAnsi="Times New Roman"/>
        </w:rPr>
        <w:t xml:space="preserve"> Protéinurie &lt; 0,5 g/24h</w:t>
      </w:r>
    </w:p>
    <w:p>
      <w:pPr/>
    </w:p>
    <w:p>
      <w:pPr>
        <w:pStyle w:val="Heading3"/>
      </w:pPr>
      <w:r>
        <w:rPr>
          <w:rFonts w:ascii="Times New Roman" w:hAnsi="Times New Roman"/>
        </w:rPr>
        <w:t>TRAITEMENT SPECIFIQUE</w:t>
      </w:r>
    </w:p>
    <w:p>
      <w:pPr>
        <w:numPr>
          <w:ilvl w:val="0"/>
          <w:numId w:val="32"/>
        </w:numPr>
      </w:pPr>
      <w:r>
        <w:rPr>
          <w:rFonts w:ascii="Times New Roman" w:hAnsi="Times New Roman"/>
          <w:b/>
        </w:rPr>
        <w:t>Protocole PONTICELLI (6 mois) :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Bolus 1g/j IV (3j) méthylprednisolone</w:t>
      </w:r>
      <w:r>
        <w:rPr>
          <w:rFonts w:ascii="Times New Roman" w:hAnsi="Times New Roman"/>
          <w:b/>
        </w:rPr>
        <w:t>/28 jours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Puis prednisone orale 0,5 à 1 mg/kg/</w:t>
      </w:r>
      <w:r>
        <w:rPr>
          <w:rFonts w:ascii="Times New Roman" w:hAnsi="Times New Roman"/>
        </w:rPr>
        <w:t>j (</w:t>
      </w:r>
      <w:r>
        <w:rPr>
          <w:rFonts w:ascii="Times New Roman" w:hAnsi="Times New Roman"/>
        </w:rPr>
        <w:t xml:space="preserve">1 mois) alternée avec </w:t>
      </w:r>
      <w:r>
        <w:rPr>
          <w:rFonts w:ascii="Times New Roman" w:hAnsi="Times New Roman"/>
        </w:rPr>
        <w:t>chlorambucil</w:t>
      </w:r>
      <w:r>
        <w:rPr>
          <w:rFonts w:ascii="Times New Roman" w:hAnsi="Times New Roman"/>
        </w:rPr>
        <w:t xml:space="preserve"> orale 0,2 mg/kg/j (l’autre 1 mois)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 xml:space="preserve">=&gt; 3j MP, 1mois C, 1 mois </w:t>
      </w:r>
      <w:r>
        <w:rPr>
          <w:rFonts w:ascii="Times New Roman" w:hAnsi="Times New Roman"/>
        </w:rPr>
        <w:t>Ch.</w:t>
      </w:r>
      <w:r>
        <w:rPr>
          <w:rFonts w:ascii="Times New Roman" w:hAnsi="Times New Roman"/>
        </w:rPr>
        <w:t>, 3j MP... ...</w:t>
      </w:r>
    </w:p>
    <w:p>
      <w:pPr>
        <w:numPr>
          <w:ilvl w:val="0"/>
          <w:numId w:val="32"/>
        </w:numPr>
      </w:pPr>
      <w:r>
        <w:rPr>
          <w:rFonts w:ascii="Times New Roman" w:hAnsi="Times New Roman"/>
        </w:rPr>
        <w:t>Cyclophosphamide ORALE : 1,5 à 2 mg/kg/j + 0,5 mg/kg/j de prednisone (3 à 6 mois)</w:t>
      </w:r>
    </w:p>
    <w:p>
      <w:pPr>
        <w:numPr>
          <w:ilvl w:val="0"/>
          <w:numId w:val="32"/>
        </w:numPr>
      </w:pPr>
      <w:r>
        <w:rPr>
          <w:rFonts w:ascii="Times New Roman" w:hAnsi="Times New Roman"/>
          <w:b/>
        </w:rPr>
        <w:t>Mycophenolate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mofetil</w:t>
      </w:r>
      <w:r>
        <w:rPr>
          <w:rFonts w:ascii="Times New Roman" w:hAnsi="Times New Roman"/>
        </w:rPr>
        <w:t xml:space="preserve"> si échec Ponticelli et DFG &lt; 50 ml/mn</w:t>
      </w:r>
    </w:p>
    <w:p>
      <w:pPr>
        <w:numPr>
          <w:ilvl w:val="0"/>
          <w:numId w:val="32"/>
        </w:numPr>
      </w:pPr>
      <w:r>
        <w:rPr>
          <w:rFonts w:ascii="Times New Roman" w:hAnsi="Times New Roman"/>
        </w:rPr>
        <w:t>Immunoglobuline IV : 0,4g/j (3j) en 4 cures toutes les 3 semaines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Puis 1 jours toutes les 3 semaines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</w:rPr>
        <w:t xml:space="preserve"> 6 mois)</w:t>
      </w:r>
    </w:p>
    <w:p>
      <w:pPr>
        <w:numPr>
          <w:ilvl w:val="0"/>
          <w:numId w:val="32"/>
        </w:numPr>
      </w:pPr>
      <w:r>
        <w:rPr>
          <w:rFonts w:ascii="Times New Roman" w:hAnsi="Times New Roman"/>
          <w:i/>
        </w:rPr>
        <w:t>Rituximab (traitement d’actualité)</w:t>
      </w:r>
    </w:p>
    <w:p>
      <w:pPr/>
    </w:p>
    <w:p>
      <w:pPr>
        <w:pStyle w:val="Heading3"/>
      </w:pPr>
      <w:r>
        <w:rPr>
          <w:rFonts w:ascii="Times New Roman" w:hAnsi="Times New Roman"/>
        </w:rPr>
        <w:t>INDICATIONS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 xml:space="preserve">Protéinurie &lt; 8g/j + DFG normal : </w:t>
      </w:r>
      <w:r>
        <w:rPr>
          <w:rFonts w:ascii="Times New Roman" w:hAnsi="Times New Roman"/>
          <w:b/>
        </w:rPr>
        <w:t xml:space="preserve">IEC 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 xml:space="preserve">Protéinurie &lt; 8 g/j + DFG diminué : </w:t>
      </w:r>
      <w:r>
        <w:rPr>
          <w:rFonts w:ascii="Times New Roman" w:hAnsi="Times New Roman"/>
          <w:b/>
        </w:rPr>
        <w:t>IEC</w:t>
      </w:r>
    </w:p>
    <w:p>
      <w:pPr/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Si Protéinurie &gt; 4 g/j pendant 1 an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Si Protéinurie &gt; 6 g/j pendant 9 mois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Si Protéinurie &gt; 8 g/j pendant 6 mois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 xml:space="preserve">Si Protéinurie &gt; 8 g/j + DFG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normal</w:t>
      </w:r>
    </w:p>
    <w:p>
      <w:pPr>
        <w:ind w:left="720"/>
      </w:pPr>
      <w:r>
        <w:rPr>
          <w:rFonts w:ascii="Times New Roman" w:hAnsi="Times New Roman"/>
          <w:b/>
        </w:rPr>
        <w:t xml:space="preserve">=&gt; Traitement spécifique </w:t>
      </w:r>
    </w:p>
    <w:p>
      <w:pPr>
        <w:ind w:left="720"/>
      </w:pPr>
    </w:p>
    <w:p>
      <w:pPr>
        <w:ind w:left="720"/>
      </w:pPr>
      <w:r>
        <w:rPr>
          <w:rFonts w:ascii="Times New Roman" w:hAnsi="Times New Roman"/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