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GLOMERULONEPHRITE MEMBRANOPROLIFERATIVE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35"/>
        </w:numPr>
      </w:pPr>
      <w:r>
        <w:rPr>
          <w:rFonts w:ascii="Times New Roman" w:hAnsi="Times New Roman"/>
        </w:rPr>
        <w:t>Décrire les signes</w:t>
      </w:r>
    </w:p>
    <w:p>
      <w:pPr>
        <w:numPr>
          <w:ilvl w:val="0"/>
          <w:numId w:val="35"/>
        </w:numPr>
      </w:pPr>
      <w:r>
        <w:rPr>
          <w:rFonts w:ascii="Times New Roman" w:hAnsi="Times New Roman"/>
        </w:rPr>
        <w:t>Citer les principales causes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36"/>
        </w:numPr>
      </w:pPr>
      <w:r>
        <w:rPr>
          <w:rFonts w:ascii="Times New Roman" w:hAnsi="Times New Roman"/>
        </w:rPr>
        <w:t>Glomérulonéphrite avec présence de prolifération cellulaire</w:t>
      </w:r>
    </w:p>
    <w:p>
      <w:pPr/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37"/>
        </w:numPr>
      </w:pPr>
      <w:r>
        <w:rPr>
          <w:rFonts w:ascii="Times New Roman" w:hAnsi="Times New Roman"/>
        </w:rPr>
        <w:t>4% des néphropathies de l’enfant</w:t>
      </w:r>
    </w:p>
    <w:p>
      <w:pPr>
        <w:numPr>
          <w:ilvl w:val="0"/>
          <w:numId w:val="37"/>
        </w:numPr>
      </w:pPr>
      <w:r>
        <w:rPr>
          <w:rFonts w:ascii="Times New Roman" w:hAnsi="Times New Roman"/>
        </w:rPr>
        <w:t>7% des néphropathies de l’adulte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pStyle w:val="Heading3"/>
        <w:numPr>
          <w:ilvl w:val="0"/>
          <w:numId w:val="84"/>
        </w:numPr>
      </w:pPr>
      <w:r>
        <w:rPr>
          <w:rFonts w:ascii="Times New Roman" w:hAnsi="Times New Roman"/>
        </w:rPr>
        <w:t>Clinique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Syndrome :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Néphritique aigu persistant (</w:t>
      </w:r>
      <w:r>
        <w:rPr>
          <w:rFonts w:ascii="Times New Roman" w:hAnsi="Times New Roman"/>
          <w:i/>
        </w:rPr>
        <w:t xml:space="preserve">très </w:t>
      </w:r>
      <w:r>
        <w:rPr>
          <w:rFonts w:ascii="Times New Roman" w:hAnsi="Times New Roman"/>
          <w:i/>
        </w:rPr>
        <w:t>brutal :</w:t>
      </w:r>
      <w:r>
        <w:rPr>
          <w:rFonts w:ascii="Times New Roman" w:hAnsi="Times New Roman"/>
          <w:i/>
        </w:rPr>
        <w:t xml:space="preserve"> caractéristique du Syndrome </w:t>
      </w:r>
      <w:r>
        <w:rPr>
          <w:rFonts w:ascii="Times New Roman" w:hAnsi="Times New Roman"/>
          <w:i/>
        </w:rPr>
        <w:t>néphritique !!</w:t>
      </w:r>
      <w:r>
        <w:rPr>
          <w:rFonts w:ascii="Times New Roman" w:hAnsi="Times New Roman"/>
          <w:i/>
        </w:rPr>
        <w:t xml:space="preserve"> 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Ou néphrotique impur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Fonte de la graisse sous cutanée du visage</w:t>
      </w:r>
    </w:p>
    <w:p>
      <w:pPr>
        <w:pStyle w:val="Heading3"/>
        <w:numPr>
          <w:ilvl w:val="0"/>
          <w:numId w:val="84"/>
        </w:numPr>
      </w:pPr>
      <w:r>
        <w:rPr>
          <w:rFonts w:ascii="Times New Roman" w:hAnsi="Times New Roman"/>
        </w:rPr>
        <w:t>Paraclinique</w:t>
      </w:r>
    </w:p>
    <w:p>
      <w:pPr>
        <w:pStyle w:val="Heading4"/>
      </w:pPr>
      <w:r>
        <w:rPr>
          <w:rFonts w:ascii="Times New Roman" w:hAnsi="Times New Roman"/>
        </w:rPr>
        <w:t>Biologie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Hématurie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Cylindrurie</w:t>
      </w:r>
      <w:r>
        <w:rPr>
          <w:rFonts w:ascii="Times New Roman" w:hAnsi="Times New Roman"/>
        </w:rPr>
        <w:t xml:space="preserve"> hématique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Insuffisance rénale rapide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Baisse de C4, C3, C1Q (</w:t>
      </w:r>
      <w:r>
        <w:rPr>
          <w:rFonts w:ascii="Times New Roman" w:hAnsi="Times New Roman"/>
          <w:i/>
        </w:rPr>
        <w:t>phénomène inflammatoire consommant le complément)</w:t>
      </w:r>
    </w:p>
    <w:p>
      <w:pPr>
        <w:numPr>
          <w:ilvl w:val="2"/>
          <w:numId w:val="38"/>
        </w:numPr>
      </w:pPr>
      <w:r>
        <w:rPr>
          <w:rFonts w:ascii="Times New Roman" w:hAnsi="Times New Roman"/>
          <w:b/>
        </w:rPr>
        <w:t>Ponction biopsie rénale+++</w:t>
      </w:r>
    </w:p>
    <w:p>
      <w:pPr>
        <w:pStyle w:val="Heading4"/>
      </w:pPr>
      <w:r>
        <w:rPr>
          <w:rFonts w:ascii="Times New Roman" w:hAnsi="Times New Roman"/>
        </w:rPr>
        <w:t>ANATOMIE PATHOLOGIQUE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Epaississement important </w:t>
      </w:r>
      <w:r>
        <w:rPr>
          <w:rFonts w:ascii="Times New Roman" w:hAnsi="Times New Roman"/>
        </w:rPr>
        <w:t>des parois capillaires</w:t>
      </w:r>
      <w:r>
        <w:rPr>
          <w:rFonts w:ascii="Times New Roman" w:hAnsi="Times New Roman"/>
        </w:rPr>
        <w:t xml:space="preserve"> par des dépôts sous endothéliaux =&gt; aspect en double contour ou rubané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Thrombi</w:t>
      </w:r>
      <w:r>
        <w:rPr>
          <w:rFonts w:ascii="Times New Roman" w:hAnsi="Times New Roman"/>
        </w:rPr>
        <w:t xml:space="preserve"> capillaire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Membrane basale de la capsule de BOWMAN, tubes, capillaires interstitiels peuvent avoir les mêmes lésions =&gt; </w:t>
      </w:r>
      <w:r>
        <w:rPr>
          <w:rFonts w:ascii="Times New Roman" w:hAnsi="Times New Roman"/>
          <w:b/>
        </w:rPr>
        <w:t xml:space="preserve">prolifération </w:t>
      </w:r>
      <w:r>
        <w:rPr>
          <w:rFonts w:ascii="Times New Roman" w:hAnsi="Times New Roman"/>
          <w:b/>
        </w:rPr>
        <w:t>extracapillaire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  <w:b/>
        </w:rPr>
        <w:t>=&gt; Immunofluorescence : voir dépôts surtout C3</w:t>
      </w:r>
    </w:p>
    <w:p>
      <w:pPr/>
    </w:p>
    <w:p>
      <w:pPr>
        <w:pStyle w:val="Heading2"/>
      </w:pPr>
      <w:r>
        <w:rPr>
          <w:rFonts w:ascii="Times New Roman" w:hAnsi="Times New Roman"/>
        </w:rPr>
        <w:t>CAUSES</w:t>
      </w:r>
    </w:p>
    <w:p>
      <w:pPr>
        <w:pStyle w:val="Heading3"/>
      </w:pPr>
      <w:r>
        <w:rPr>
          <w:rFonts w:ascii="Times New Roman" w:hAnsi="Times New Roman"/>
        </w:rPr>
        <w:t>Infection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Bilharziose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Paludisme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Abcès ou suppuration profonde (</w:t>
      </w:r>
      <w:r>
        <w:rPr>
          <w:rFonts w:ascii="Times New Roman" w:hAnsi="Times New Roman"/>
        </w:rPr>
        <w:t xml:space="preserve">Foyer </w:t>
      </w:r>
      <w:r>
        <w:rPr>
          <w:rFonts w:ascii="Times New Roman" w:hAnsi="Times New Roman"/>
        </w:rPr>
        <w:t>infectieux ?</w:t>
      </w:r>
      <w:r>
        <w:rPr>
          <w:rFonts w:ascii="Times New Roman" w:hAnsi="Times New Roman"/>
        </w:rPr>
        <w:t>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Endocardite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 xml:space="preserve">Infection Shunt atrioventriculaire 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VHB, VHC, VIH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Brucella</w:t>
      </w:r>
    </w:p>
    <w:p>
      <w:pPr>
        <w:pStyle w:val="Heading3"/>
      </w:pPr>
      <w:r>
        <w:rPr>
          <w:rFonts w:ascii="Times New Roman" w:hAnsi="Times New Roman"/>
        </w:rPr>
        <w:t>Néoplasiques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Cancer du rein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Leucémie lymphoïde chronique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Lymphomes non hodgkiniens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Thymome</w:t>
      </w:r>
    </w:p>
    <w:p>
      <w:pPr>
        <w:pStyle w:val="Heading3"/>
      </w:pPr>
      <w:r>
        <w:rPr>
          <w:rFonts w:ascii="Times New Roman" w:hAnsi="Times New Roman"/>
        </w:rPr>
        <w:t>Maladies systémiques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Lupus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Cryoglobulinémie</w:t>
      </w:r>
      <w:r>
        <w:rPr>
          <w:rFonts w:ascii="Times New Roman" w:hAnsi="Times New Roman"/>
        </w:rPr>
        <w:t xml:space="preserve"> (liée au VHC)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Sjögren</w:t>
      </w:r>
    </w:p>
    <w:p>
      <w:pPr>
        <w:pStyle w:val="Heading3"/>
      </w:pPr>
      <w:r>
        <w:rPr>
          <w:rFonts w:ascii="Times New Roman" w:hAnsi="Times New Roman"/>
        </w:rPr>
        <w:t>Autres :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Maladie chronique du foie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Déficit en a1-antitrypsine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Déficit en complément</w:t>
      </w:r>
    </w:p>
    <w:p>
      <w:pPr>
        <w:pStyle w:val="Heading3"/>
      </w:pPr>
      <w:r>
        <w:rPr>
          <w:rFonts w:ascii="Times New Roman" w:hAnsi="Times New Roman"/>
        </w:rPr>
        <w:t>Localisation extra-capillaire :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Foyer infectieux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 xml:space="preserve">Lupus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anti-nucléaire, anti-ADN)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Purpura rhumatoïde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GoodPasture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anti-membrane basale glomérulaire)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  <w:b/>
        </w:rPr>
        <w:t>Wegener 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anti-cytoplasme de polynucléaire : ANCA)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Churg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strauss</w:t>
      </w:r>
      <w:r>
        <w:rPr>
          <w:rFonts w:ascii="Times New Roman" w:hAnsi="Times New Roman"/>
        </w:rPr>
        <w:t xml:space="preserve"> (asthme tardif)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Polyangéite</w:t>
      </w:r>
      <w:r>
        <w:rPr>
          <w:rFonts w:ascii="Times New Roman" w:hAnsi="Times New Roman"/>
        </w:rPr>
        <w:t xml:space="preserve"> microscopique (ANCA)</w:t>
      </w:r>
    </w:p>
    <w:p>
      <w:pPr>
        <w:pStyle w:val="Heading2"/>
      </w:pPr>
      <w:r>
        <w:rPr>
          <w:rFonts w:ascii="Times New Roman" w:hAnsi="Times New Roman"/>
        </w:rPr>
        <w:t>EVOLUTION</w:t>
      </w:r>
    </w:p>
    <w:p>
      <w:pPr>
        <w:numPr>
          <w:ilvl w:val="0"/>
          <w:numId w:val="41"/>
        </w:numPr>
      </w:pPr>
      <w:r>
        <w:rPr>
          <w:rFonts w:ascii="Times New Roman" w:hAnsi="Times New Roman"/>
        </w:rPr>
        <w:t>Favorable si bien traité à temps</w:t>
      </w:r>
    </w:p>
    <w:p>
      <w:pPr>
        <w:numPr>
          <w:ilvl w:val="0"/>
          <w:numId w:val="41"/>
        </w:numPr>
      </w:pPr>
      <w:r>
        <w:rPr>
          <w:rFonts w:ascii="Times New Roman" w:hAnsi="Times New Roman"/>
        </w:rPr>
        <w:t>Sinon IRC en quelques mois à quelques années (</w:t>
      </w:r>
      <w:r>
        <w:rPr>
          <w:rFonts w:ascii="Times New Roman" w:hAnsi="Times New Roman"/>
          <w:i/>
        </w:rPr>
        <w:t>irréversible)</w:t>
      </w:r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Urgence thérapeutique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En fonction de la cause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Syndrome néphrotique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Dialyse si indications</w:t>
      </w:r>
    </w:p>
    <w:p>
      <w:pPr/>
    </w:p>
    <w:p>
      <w:pPr>
        <w:numPr>
          <w:ilvl w:val="0"/>
          <w:numId w:val="39"/>
        </w:numPr>
      </w:pPr>
      <w:r>
        <w:rPr>
          <w:rFonts w:ascii="Times New Roman" w:hAnsi="Times New Roman"/>
          <w:i/>
        </w:rPr>
        <w:t>“MÊME TRAITEMENT QUE GNEM</w:t>
      </w:r>
      <w:r>
        <w:rPr>
          <w:rFonts w:ascii="Times New Roman" w:hAnsi="Times New Roman"/>
          <w:i/>
        </w:rPr>
        <w:t>” ??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