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HYALINOSE SEGMENTAIRE ET FOCALE (HSF)</w:t>
      </w:r>
    </w:p>
    <w:p>
      <w:pPr>
        <w:pStyle w:val="Heading2"/>
      </w:pPr>
      <w:r>
        <w:rPr>
          <w:rFonts w:ascii="Times New Roman" w:hAnsi="Times New Roman"/>
        </w:rPr>
        <w:t>Objectifs :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>Citer les signes pour la reconnaître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>Citer les causes</w:t>
      </w:r>
    </w:p>
    <w:p>
      <w:pPr/>
    </w:p>
    <w:p>
      <w:pPr>
        <w:pStyle w:val="Heading2"/>
      </w:pPr>
      <w:r>
        <w:rPr>
          <w:rFonts w:ascii="Times New Roman" w:hAnsi="Times New Roman"/>
        </w:rPr>
        <w:t>INTRODUCTION</w:t>
      </w:r>
    </w:p>
    <w:p>
      <w:pPr>
        <w:pStyle w:val="Heading3"/>
      </w:pPr>
      <w:r>
        <w:rPr>
          <w:rFonts w:ascii="Times New Roman" w:hAnsi="Times New Roman"/>
        </w:rPr>
        <w:t>DEFINITION</w:t>
      </w:r>
    </w:p>
    <w:p>
      <w:pPr>
        <w:numPr>
          <w:ilvl w:val="0"/>
          <w:numId w:val="2"/>
        </w:numPr>
      </w:pPr>
      <w:r>
        <w:rPr>
          <w:rFonts w:ascii="Times New Roman" w:hAnsi="Times New Roman"/>
        </w:rPr>
        <w:t>GloméruloNéphrite</w:t>
      </w:r>
      <w:r>
        <w:rPr>
          <w:rFonts w:ascii="Times New Roman" w:hAnsi="Times New Roman"/>
        </w:rPr>
        <w:t xml:space="preserve"> non proliférative avec des lésions localisées (</w:t>
      </w:r>
      <w:r>
        <w:rPr>
          <w:rFonts w:ascii="Times New Roman" w:hAnsi="Times New Roman"/>
          <w:i/>
        </w:rPr>
        <w:t xml:space="preserve">TDD des syndromes </w:t>
      </w:r>
      <w:r>
        <w:rPr>
          <w:rFonts w:ascii="Times New Roman" w:hAnsi="Times New Roman"/>
          <w:i/>
        </w:rPr>
        <w:t>glomérulaires</w:t>
      </w:r>
      <w:r>
        <w:rPr>
          <w:rFonts w:ascii="Times New Roman" w:hAnsi="Times New Roman"/>
          <w:i/>
        </w:rPr>
        <w:t>)</w:t>
      </w:r>
    </w:p>
    <w:p>
      <w:pPr/>
    </w:p>
    <w:p>
      <w:pPr>
        <w:pStyle w:val="Heading3"/>
      </w:pPr>
      <w:r>
        <w:rPr>
          <w:rFonts w:ascii="Times New Roman" w:hAnsi="Times New Roman"/>
        </w:rPr>
        <w:t>EPIDEMIOLOGIE</w:t>
      </w:r>
    </w:p>
    <w:p>
      <w:pPr>
        <w:numPr>
          <w:ilvl w:val="0"/>
          <w:numId w:val="3"/>
        </w:numPr>
      </w:pPr>
      <w:r>
        <w:rPr>
          <w:rFonts w:ascii="Times New Roman" w:hAnsi="Times New Roman"/>
        </w:rPr>
        <w:t xml:space="preserve">Fréquente chez les races noires d’Afrique surtout VIH (+) </w:t>
      </w:r>
      <w:r>
        <w:rPr>
          <w:rFonts w:ascii="Times New Roman" w:hAnsi="Times New Roman"/>
          <w:i/>
        </w:rPr>
        <w:t>(rechercher VIH devant SN,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néphropathies)</w:t>
      </w:r>
    </w:p>
    <w:p>
      <w:pPr>
        <w:numPr>
          <w:ilvl w:val="0"/>
          <w:numId w:val="3"/>
        </w:numPr>
      </w:pPr>
      <w:r>
        <w:rPr>
          <w:rFonts w:ascii="Times New Roman" w:hAnsi="Times New Roman"/>
        </w:rPr>
        <w:t xml:space="preserve">8% des </w:t>
      </w:r>
      <w:r>
        <w:rPr>
          <w:rFonts w:ascii="Times New Roman" w:hAnsi="Times New Roman"/>
        </w:rPr>
        <w:t>néphropathies</w:t>
      </w:r>
      <w:r>
        <w:rPr>
          <w:rFonts w:ascii="Times New Roman" w:hAnsi="Times New Roman"/>
        </w:rPr>
        <w:t xml:space="preserve"> chez l’enfant</w:t>
      </w:r>
    </w:p>
    <w:p>
      <w:pPr>
        <w:numPr>
          <w:ilvl w:val="0"/>
          <w:numId w:val="3"/>
        </w:numPr>
      </w:pPr>
      <w:r>
        <w:rPr>
          <w:rFonts w:ascii="Times New Roman" w:hAnsi="Times New Roman"/>
        </w:rPr>
        <w:t xml:space="preserve">15% des </w:t>
      </w:r>
      <w:r>
        <w:rPr>
          <w:rFonts w:ascii="Times New Roman" w:hAnsi="Times New Roman"/>
        </w:rPr>
        <w:t>néphropathies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 l’adulte</w:t>
      </w:r>
      <w:r>
        <w:rPr>
          <w:rFonts w:ascii="Times New Roman" w:hAnsi="Times New Roman"/>
        </w:rPr>
        <w:t xml:space="preserve">  </w:t>
      </w:r>
    </w:p>
    <w:p>
      <w:pPr/>
    </w:p>
    <w:p>
      <w:pPr>
        <w:pStyle w:val="Heading2"/>
      </w:pPr>
      <w:r>
        <w:rPr>
          <w:rFonts w:ascii="Times New Roman" w:hAnsi="Times New Roman"/>
        </w:rPr>
        <w:t>DIAGNOSTIC</w:t>
      </w:r>
    </w:p>
    <w:p>
      <w:pPr>
        <w:pStyle w:val="Heading3"/>
        <w:numPr>
          <w:ilvl w:val="0"/>
          <w:numId w:val="82"/>
        </w:numPr>
      </w:pPr>
      <w:r>
        <w:rPr>
          <w:rFonts w:ascii="Times New Roman" w:hAnsi="Times New Roman"/>
        </w:rPr>
        <w:t>CLINIQUE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>Antécédent de protéinurie intermittente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 xml:space="preserve">Syndrome néphrotique </w:t>
      </w:r>
      <w:r>
        <w:rPr>
          <w:rFonts w:ascii="Times New Roman" w:hAnsi="Times New Roman"/>
        </w:rPr>
        <w:t>impur :</w:t>
      </w:r>
      <w:r>
        <w:rPr>
          <w:rFonts w:ascii="Times New Roman" w:hAnsi="Times New Roman"/>
        </w:rPr>
        <w:t xml:space="preserve"> 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HTA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 xml:space="preserve">Hématurie </w:t>
      </w:r>
    </w:p>
    <w:p>
      <w:pPr>
        <w:numPr>
          <w:ilvl w:val="2"/>
          <w:numId w:val="4"/>
        </w:numPr>
      </w:pPr>
      <w:r>
        <w:rPr>
          <w:rFonts w:ascii="Times New Roman" w:hAnsi="Times New Roman"/>
          <w:i/>
        </w:rPr>
        <w:t xml:space="preserve">Bandelettes urinaires : </w:t>
      </w:r>
      <w:r>
        <w:rPr>
          <w:rFonts w:ascii="Times New Roman" w:hAnsi="Times New Roman"/>
          <w:i/>
        </w:rPr>
        <w:t>attention !!!</w:t>
      </w:r>
      <w:r>
        <w:rPr>
          <w:rFonts w:ascii="Times New Roman" w:hAnsi="Times New Roman"/>
          <w:i/>
        </w:rPr>
        <w:t xml:space="preserve"> très sensible, attention à l’interprétation</w:t>
      </w:r>
    </w:p>
    <w:p>
      <w:pPr>
        <w:pStyle w:val="Heading3"/>
        <w:numPr>
          <w:ilvl w:val="0"/>
          <w:numId w:val="82"/>
        </w:numPr>
      </w:pPr>
      <w:r>
        <w:rPr>
          <w:rFonts w:ascii="Times New Roman" w:hAnsi="Times New Roman"/>
        </w:rPr>
        <w:t>PARACLINIQUE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>Insuffisance rénale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 xml:space="preserve">Hématurie + </w:t>
      </w:r>
      <w:r>
        <w:rPr>
          <w:rFonts w:ascii="Times New Roman" w:hAnsi="Times New Roman"/>
        </w:rPr>
        <w:t>cylindrurie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 xml:space="preserve">Protéinurie </w:t>
      </w:r>
      <w:r>
        <w:rPr>
          <w:rFonts w:ascii="Times New Roman" w:hAnsi="Times New Roman"/>
          <w:b/>
        </w:rPr>
        <w:t>intermittente (</w:t>
      </w:r>
      <w:r>
        <w:rPr>
          <w:rFonts w:ascii="Times New Roman" w:hAnsi="Times New Roman"/>
          <w:b/>
          <w:i/>
        </w:rPr>
        <w:t xml:space="preserve">caractéristique de l’HSF : </w:t>
      </w:r>
      <w:r>
        <w:rPr>
          <w:rFonts w:ascii="Times New Roman" w:hAnsi="Times New Roman"/>
          <w:b/>
          <w:i/>
        </w:rPr>
        <w:t>intermittence)</w:t>
      </w:r>
    </w:p>
    <w:p>
      <w:pPr>
        <w:numPr>
          <w:ilvl w:val="2"/>
          <w:numId w:val="4"/>
        </w:numPr>
      </w:pPr>
      <w:r>
        <w:rPr>
          <w:rFonts w:ascii="Times New Roman" w:hAnsi="Times New Roman"/>
          <w:i/>
        </w:rPr>
        <w:t>En pratique : contrôle /3mois. Si 1 positif puis 2ème négatif, refaire un troisième. Si 2 fois négatif = négativité certaine</w:t>
      </w:r>
    </w:p>
    <w:p>
      <w:pPr>
        <w:numPr>
          <w:ilvl w:val="1"/>
          <w:numId w:val="4"/>
        </w:numPr>
      </w:pPr>
      <w:r>
        <w:rPr>
          <w:rFonts w:ascii="Times New Roman" w:hAnsi="Times New Roman"/>
          <w:b/>
        </w:rPr>
        <w:t>Biopsie rénale (PBR) +++</w:t>
      </w:r>
    </w:p>
    <w:p>
      <w:pPr/>
    </w:p>
    <w:p>
      <w:pPr>
        <w:pStyle w:val="Heading2"/>
      </w:pPr>
      <w:r>
        <w:rPr>
          <w:rFonts w:ascii="Times New Roman" w:hAnsi="Times New Roman"/>
        </w:rPr>
        <w:t>ANATOMIE PATHOLOGIQUE</w:t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>Lésion sur une ou plusieurs anses capillaires glomérules</w:t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 xml:space="preserve">La lésion concerne </w:t>
      </w:r>
      <w:r>
        <w:rPr>
          <w:rFonts w:ascii="Times New Roman" w:hAnsi="Times New Roman"/>
          <w:b/>
        </w:rPr>
        <w:t>une partie des glomérules et une partie du floculus</w:t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>Collapsus avec plissement des parois capillaires</w:t>
      </w:r>
    </w:p>
    <w:p>
      <w:pPr>
        <w:numPr>
          <w:ilvl w:val="0"/>
          <w:numId w:val="5"/>
        </w:numPr>
      </w:pPr>
      <w:r>
        <w:drawing>
          <wp:inline xmlns:a="http://schemas.openxmlformats.org/drawingml/2006/main" xmlns:pic="http://schemas.openxmlformats.org/drawingml/2006/picture">
            <wp:extent cx="15748000" cy="1178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 xml:space="preserve">Hypertrophie de la matrice mésangiale avec des plages de substance </w:t>
      </w:r>
      <w:r>
        <w:rPr>
          <w:rFonts w:ascii="Times New Roman" w:hAnsi="Times New Roman"/>
          <w:b/>
        </w:rPr>
        <w:t>hyaline</w:t>
      </w:r>
      <w:r>
        <w:rPr>
          <w:rFonts w:ascii="Times New Roman" w:hAnsi="Times New Roman"/>
        </w:rPr>
        <w:t xml:space="preserve"> et des cellules spumeuses + vacuole lipidique</w:t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>Noyaux sont rarifiés</w:t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 xml:space="preserve">Segment </w:t>
      </w:r>
      <w:r>
        <w:rPr>
          <w:rFonts w:ascii="Times New Roman" w:hAnsi="Times New Roman"/>
          <w:b/>
        </w:rPr>
        <w:t xml:space="preserve">scléreux </w:t>
      </w:r>
      <w:r>
        <w:rPr>
          <w:rFonts w:ascii="Times New Roman" w:hAnsi="Times New Roman"/>
        </w:rPr>
        <w:t>est entouré par une couche continue de podocytes hypertrophiés vacuolisés</w:t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 xml:space="preserve">Le segment </w:t>
      </w:r>
      <w:r>
        <w:rPr>
          <w:rFonts w:ascii="Times New Roman" w:hAnsi="Times New Roman"/>
          <w:b/>
        </w:rPr>
        <w:t xml:space="preserve">hyalin </w:t>
      </w:r>
      <w:r>
        <w:rPr>
          <w:rFonts w:ascii="Times New Roman" w:hAnsi="Times New Roman"/>
        </w:rPr>
        <w:t xml:space="preserve">adhère directement à la capsule de BOWMAN donnant une synéchie </w:t>
      </w:r>
      <w:r>
        <w:rPr>
          <w:rFonts w:ascii="Times New Roman" w:hAnsi="Times New Roman"/>
        </w:rPr>
        <w:t>floculo</w:t>
      </w:r>
      <w:r>
        <w:rPr>
          <w:rFonts w:ascii="Times New Roman" w:hAnsi="Times New Roman"/>
        </w:rPr>
        <w:t>-capsulaire</w:t>
      </w:r>
    </w:p>
    <w:p>
      <w:pPr>
        <w:numPr>
          <w:ilvl w:val="0"/>
          <w:numId w:val="5"/>
        </w:numPr>
      </w:pPr>
      <w:r>
        <w:drawing>
          <wp:inline xmlns:a="http://schemas.openxmlformats.org/drawingml/2006/main" xmlns:pic="http://schemas.openxmlformats.org/drawingml/2006/picture">
            <wp:extent cx="5930900" cy="47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>Évolue vers la sclérose glomérulaire</w:t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 xml:space="preserve">Lésions </w:t>
      </w:r>
      <w:r>
        <w:rPr>
          <w:rFonts w:ascii="Times New Roman" w:hAnsi="Times New Roman"/>
        </w:rPr>
        <w:t>tubulo</w:t>
      </w:r>
      <w:r>
        <w:rPr>
          <w:rFonts w:ascii="Times New Roman" w:hAnsi="Times New Roman"/>
        </w:rPr>
        <w:t>-interstitielles secondaires à la forte protéinurie</w:t>
      </w:r>
    </w:p>
    <w:p>
      <w:pPr>
        <w:numPr>
          <w:ilvl w:val="0"/>
          <w:numId w:val="5"/>
        </w:numPr>
      </w:pPr>
      <w:r>
        <w:rPr>
          <w:rFonts w:ascii="Times New Roman" w:hAnsi="Times New Roman"/>
          <w:b/>
        </w:rPr>
        <w:t>Immunofluorescence</w:t>
      </w:r>
      <w:r>
        <w:rPr>
          <w:rFonts w:ascii="Times New Roman" w:hAnsi="Times New Roman"/>
          <w:b/>
        </w:rPr>
        <w:t xml:space="preserve"> : </w:t>
      </w:r>
      <w:r>
        <w:rPr>
          <w:rFonts w:ascii="Times New Roman" w:hAnsi="Times New Roman"/>
        </w:rPr>
        <w:t xml:space="preserve">fixation segmentaire et focale </w:t>
      </w:r>
      <w:r>
        <w:rPr>
          <w:rFonts w:ascii="Times New Roman" w:hAnsi="Times New Roman"/>
        </w:rPr>
        <w:t>d’</w:t>
      </w:r>
      <w:r>
        <w:rPr>
          <w:rFonts w:ascii="Times New Roman" w:hAnsi="Times New Roman"/>
        </w:rPr>
        <w:t>anti</w:t>
      </w:r>
      <w:r>
        <w:rPr>
          <w:rFonts w:ascii="Times New Roman" w:hAnsi="Times New Roman"/>
          <w:b/>
        </w:rPr>
        <w:t>-IgM</w:t>
      </w:r>
      <w:r>
        <w:rPr>
          <w:rFonts w:ascii="Times New Roman" w:hAnsi="Times New Roman"/>
          <w:b/>
        </w:rPr>
        <w:t>, et anti-C3</w:t>
      </w:r>
    </w:p>
    <w:p>
      <w:pPr/>
    </w:p>
    <w:p>
      <w:pPr>
        <w:pStyle w:val="Heading2"/>
      </w:pPr>
      <w:r>
        <w:rPr>
          <w:rFonts w:ascii="Times New Roman" w:hAnsi="Times New Roman"/>
        </w:rPr>
        <w:t>EVOLUTION (des années)</w:t>
      </w:r>
    </w:p>
    <w:p>
      <w:pPr>
        <w:numPr>
          <w:ilvl w:val="0"/>
          <w:numId w:val="6"/>
        </w:numPr>
      </w:pPr>
      <w:r>
        <w:rPr>
          <w:rFonts w:ascii="Times New Roman" w:hAnsi="Times New Roman"/>
        </w:rPr>
        <w:t>Imprévisible</w:t>
      </w:r>
    </w:p>
    <w:p>
      <w:pPr>
        <w:numPr>
          <w:ilvl w:val="0"/>
          <w:numId w:val="6"/>
        </w:numPr>
      </w:pPr>
      <w:r>
        <w:rPr>
          <w:rFonts w:ascii="Times New Roman" w:hAnsi="Times New Roman"/>
        </w:rPr>
        <w:t>Si VIH (+) : syndrome rénal rapidement progressif</w:t>
      </w:r>
    </w:p>
    <w:p>
      <w:pPr>
        <w:numPr>
          <w:ilvl w:val="0"/>
          <w:numId w:val="6"/>
        </w:numPr>
      </w:pPr>
      <w:r>
        <w:rPr>
          <w:rFonts w:ascii="Times New Roman" w:hAnsi="Times New Roman"/>
        </w:rPr>
        <w:t>50% de récidive sur greffon après transplantation</w:t>
      </w:r>
    </w:p>
    <w:p>
      <w:pPr>
        <w:numPr>
          <w:ilvl w:val="0"/>
          <w:numId w:val="6"/>
        </w:numPr>
      </w:pPr>
      <w:r>
        <w:rPr>
          <w:rFonts w:ascii="Times New Roman" w:hAnsi="Times New Roman"/>
        </w:rPr>
        <w:t>&lt;40% bonne réponse</w:t>
      </w:r>
    </w:p>
    <w:p>
      <w:pPr>
        <w:numPr>
          <w:ilvl w:val="0"/>
          <w:numId w:val="6"/>
        </w:numPr>
      </w:pPr>
      <w:r>
        <w:rPr>
          <w:rFonts w:ascii="Times New Roman" w:hAnsi="Times New Roman"/>
        </w:rPr>
        <w:t>Cortico-résistance : 50-80% et évolue vers une IRC</w:t>
      </w:r>
    </w:p>
    <w:p>
      <w:pPr>
        <w:numPr>
          <w:ilvl w:val="0"/>
          <w:numId w:val="6"/>
        </w:numPr>
      </w:pPr>
      <w:r>
        <w:rPr>
          <w:rFonts w:ascii="Times New Roman" w:hAnsi="Times New Roman"/>
          <w:i/>
        </w:rPr>
        <w:t>SN pur cortico-résistant : penser à l’HSF</w:t>
      </w:r>
    </w:p>
    <w:p>
      <w:pPr>
        <w:pStyle w:val="Heading2"/>
      </w:pPr>
      <w:r>
        <w:rPr>
          <w:rFonts w:ascii="Times New Roman" w:hAnsi="Times New Roman"/>
        </w:rPr>
        <w:t>CAUSES</w:t>
      </w:r>
    </w:p>
    <w:p>
      <w:pPr>
        <w:numPr>
          <w:ilvl w:val="0"/>
          <w:numId w:val="7"/>
        </w:numPr>
      </w:pPr>
      <w:r>
        <w:rPr>
          <w:rFonts w:ascii="Times New Roman" w:hAnsi="Times New Roman"/>
        </w:rPr>
        <w:t>IDIOPATHIQUE : +++</w:t>
      </w:r>
    </w:p>
    <w:p>
      <w:pPr>
        <w:numPr>
          <w:ilvl w:val="0"/>
          <w:numId w:val="7"/>
        </w:numPr>
      </w:pPr>
      <w:r>
        <w:rPr>
          <w:rFonts w:ascii="Times New Roman" w:hAnsi="Times New Roman"/>
        </w:rPr>
        <w:t xml:space="preserve">MEDICAMENT : 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 xml:space="preserve">Analgésiques 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>Pamidronate</w:t>
      </w:r>
      <w:r>
        <w:rPr>
          <w:rFonts w:ascii="Times New Roman" w:hAnsi="Times New Roman"/>
        </w:rPr>
        <w:t xml:space="preserve"> </w:t>
      </w:r>
    </w:p>
    <w:p>
      <w:pPr>
        <w:numPr>
          <w:ilvl w:val="0"/>
          <w:numId w:val="7"/>
        </w:numPr>
      </w:pPr>
      <w:r>
        <w:rPr>
          <w:rFonts w:ascii="Times New Roman" w:hAnsi="Times New Roman"/>
        </w:rPr>
        <w:t>Infections :</w:t>
      </w:r>
    </w:p>
    <w:p>
      <w:pPr>
        <w:numPr>
          <w:ilvl w:val="1"/>
          <w:numId w:val="7"/>
        </w:numPr>
      </w:pPr>
      <w:r>
        <w:rPr>
          <w:rFonts w:ascii="Times New Roman" w:hAnsi="Times New Roman"/>
          <w:b/>
        </w:rPr>
        <w:t>VIH</w:t>
      </w:r>
    </w:p>
    <w:p>
      <w:pPr>
        <w:numPr>
          <w:ilvl w:val="1"/>
          <w:numId w:val="7"/>
        </w:numPr>
      </w:pPr>
      <w:r>
        <w:rPr>
          <w:rFonts w:ascii="Times New Roman" w:hAnsi="Times New Roman"/>
          <w:b/>
        </w:rPr>
        <w:t>VHB</w:t>
      </w:r>
    </w:p>
    <w:p>
      <w:pPr>
        <w:numPr>
          <w:ilvl w:val="0"/>
          <w:numId w:val="7"/>
        </w:numPr>
      </w:pPr>
      <w:r>
        <w:rPr>
          <w:rFonts w:ascii="Times New Roman" w:hAnsi="Times New Roman"/>
        </w:rPr>
        <w:t>Néoplasie :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>Lymphomes (</w:t>
      </w:r>
      <w:r>
        <w:rPr>
          <w:rFonts w:ascii="Times New Roman" w:hAnsi="Times New Roman"/>
          <w:i/>
        </w:rPr>
        <w:t>chez l’adulte, tumeurs solides)</w:t>
      </w:r>
    </w:p>
    <w:p>
      <w:pPr>
        <w:numPr>
          <w:ilvl w:val="0"/>
          <w:numId w:val="7"/>
        </w:numPr>
      </w:pPr>
      <w:r>
        <w:rPr>
          <w:rFonts w:ascii="Times New Roman" w:hAnsi="Times New Roman"/>
        </w:rPr>
        <w:t>Autres :</w:t>
      </w:r>
    </w:p>
    <w:p>
      <w:pPr>
        <w:numPr>
          <w:ilvl w:val="1"/>
          <w:numId w:val="7"/>
        </w:numPr>
      </w:pPr>
      <w:r>
        <w:rPr>
          <w:rFonts w:ascii="Times New Roman" w:hAnsi="Times New Roman"/>
          <w:b/>
        </w:rPr>
        <w:t>Lupus (</w:t>
      </w:r>
      <w:r>
        <w:rPr>
          <w:rFonts w:ascii="Times New Roman" w:hAnsi="Times New Roman"/>
        </w:rPr>
        <w:t>Classe III)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>Sarcoïdose (</w:t>
      </w:r>
      <w:r>
        <w:rPr>
          <w:rFonts w:ascii="Times New Roman" w:hAnsi="Times New Roman"/>
          <w:i/>
        </w:rPr>
        <w:t>signe d’appel : hypercalcémie et ganglions)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>Familiale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>Héroïne intraveineuse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>Hypoplasie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>Irradiations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>Obésité (</w:t>
      </w:r>
      <w:r>
        <w:rPr>
          <w:rFonts w:ascii="Times New Roman" w:hAnsi="Times New Roman"/>
          <w:i/>
        </w:rPr>
        <w:t xml:space="preserve">rein doit éliminer le surplus de protéine et graisse =&gt; même principe que l’atteinte interstitielle par excès de fuite 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>Réduction néphronique par : agénésie rénale unilatérale, résection chirurgicale, autres néphropathies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>Rein unique</w:t>
      </w:r>
    </w:p>
    <w:p>
      <w:pPr/>
    </w:p>
    <w:p>
      <w:pPr>
        <w:pStyle w:val="Heading2"/>
      </w:pPr>
      <w:r>
        <w:rPr>
          <w:rFonts w:ascii="Times New Roman" w:hAnsi="Times New Roman"/>
        </w:rPr>
        <w:t>TRAITEMENT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 xml:space="preserve">Prednisolone 1mg/kg/j 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3 mois (arrêter de façon progressive à partir de 4 </w:t>
      </w:r>
      <w:r>
        <w:rPr>
          <w:rFonts w:ascii="Times New Roman" w:hAnsi="Times New Roman"/>
        </w:rPr>
        <w:t>sem.</w:t>
      </w:r>
      <w:r>
        <w:rPr>
          <w:rFonts w:ascii="Times New Roman" w:hAnsi="Times New Roman"/>
        </w:rPr>
        <w:t xml:space="preserve"> si non </w:t>
      </w:r>
      <w:r>
        <w:rPr>
          <w:rFonts w:ascii="Times New Roman" w:hAnsi="Times New Roman"/>
        </w:rPr>
        <w:t>répondeur)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>Ou Bolus de Corticoïde (CTC) mensuel : 15 mg/kg/j pendant 3j</w:t>
      </w:r>
    </w:p>
    <w:p>
      <w:pPr>
        <w:numPr>
          <w:ilvl w:val="0"/>
          <w:numId w:val="8"/>
        </w:numPr>
      </w:pPr>
      <w:r>
        <w:rPr>
          <w:rFonts w:ascii="Times New Roman" w:hAnsi="Times New Roman"/>
          <w:b/>
        </w:rPr>
        <w:t xml:space="preserve">Inhibiteurs de l’Enzyme de Conversion 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relâche</w:t>
      </w:r>
      <w:r>
        <w:rPr>
          <w:rFonts w:ascii="Times New Roman" w:hAnsi="Times New Roman"/>
        </w:rPr>
        <w:t xml:space="preserve"> le tonus de l’artère efférente =</w:t>
      </w:r>
      <w:r>
        <w:rPr>
          <w:rFonts w:ascii="Times New Roman" w:hAnsi="Times New Roman"/>
        </w:rPr>
        <w:t>&gt; diminution</w:t>
      </w:r>
      <w:r>
        <w:rPr>
          <w:rFonts w:ascii="Times New Roman" w:hAnsi="Times New Roman"/>
        </w:rPr>
        <w:t xml:space="preserve"> de la pression hydrostatique, inhibition de la production de matrice extra-cellulaire RAMIPRIL</w:t>
      </w:r>
      <w:r>
        <w:rPr>
          <w:rFonts w:ascii="Times New Roman" w:hAnsi="Times New Roman"/>
        </w:rPr>
        <w:t>*, ENALAPRIL</w:t>
      </w:r>
      <w:r>
        <w:rPr>
          <w:rFonts w:ascii="Times New Roman" w:hAnsi="Times New Roman"/>
        </w:rPr>
        <w:t>*</w:t>
      </w:r>
    </w:p>
    <w:p>
      <w:pPr>
        <w:numPr>
          <w:ilvl w:val="0"/>
          <w:numId w:val="8"/>
        </w:numPr>
      </w:pPr>
      <w:r>
        <w:rPr>
          <w:rFonts w:ascii="Times New Roman" w:hAnsi="Times New Roman"/>
          <w:b/>
        </w:rPr>
        <w:t>SI RECHUTE OU CORTICO-DEPENDANCE, on fait</w:t>
      </w:r>
    </w:p>
    <w:p>
      <w:pPr>
        <w:numPr>
          <w:ilvl w:val="1"/>
          <w:numId w:val="8"/>
        </w:numPr>
      </w:pPr>
      <w:r>
        <w:rPr>
          <w:rFonts w:ascii="Times New Roman" w:hAnsi="Times New Roman"/>
        </w:rPr>
        <w:t>Bolus IV de corticoïde (15mg/kg/j pendant 3 jours puis J</w:t>
      </w:r>
      <w:r>
        <w:rPr>
          <w:rFonts w:ascii="Times New Roman" w:hAnsi="Times New Roman"/>
        </w:rPr>
        <w:t>4 :</w:t>
      </w:r>
      <w:r>
        <w:rPr>
          <w:rFonts w:ascii="Times New Roman" w:hAnsi="Times New Roman"/>
        </w:rPr>
        <w:t xml:space="preserve">   cyclophosphamide </w:t>
      </w:r>
      <w:r>
        <w:rPr>
          <w:rFonts w:ascii="Times New Roman" w:hAnsi="Times New Roman"/>
          <w:i/>
        </w:rPr>
        <w:t xml:space="preserve">injectable </w:t>
      </w:r>
      <w:r>
        <w:rPr>
          <w:rFonts w:ascii="Times New Roman" w:hAnsi="Times New Roman"/>
        </w:rPr>
        <w:t xml:space="preserve">(15mg/kg en 1 jour) </w:t>
      </w:r>
      <w:r>
        <w:rPr>
          <w:rFonts w:ascii="Times New Roman" w:hAnsi="Times New Roman"/>
          <w:i/>
        </w:rPr>
        <w:t>ciclo</w:t>
      </w:r>
      <w:r>
        <w:rPr>
          <w:rFonts w:ascii="Times New Roman" w:hAnsi="Times New Roman"/>
          <w:i/>
        </w:rPr>
        <w:t xml:space="preserve"> :</w:t>
      </w:r>
      <w:r>
        <w:rPr>
          <w:rFonts w:ascii="Times New Roman" w:hAnsi="Times New Roman"/>
          <w:i/>
        </w:rPr>
        <w:t xml:space="preserve"> répéter tous les 28 jours, max 6 </w:t>
      </w:r>
      <w:r>
        <w:rPr>
          <w:rFonts w:ascii="Times New Roman" w:hAnsi="Times New Roman"/>
          <w:i/>
        </w:rPr>
        <w:t>mois,</w:t>
      </w:r>
      <w:r>
        <w:rPr>
          <w:rFonts w:ascii="Times New Roman" w:hAnsi="Times New Roman"/>
          <w:i/>
        </w:rPr>
        <w:t xml:space="preserve"> arrêt si non efficace à 3 mois</w:t>
      </w:r>
    </w:p>
    <w:p>
      <w:pPr>
        <w:numPr>
          <w:ilvl w:val="1"/>
          <w:numId w:val="8"/>
        </w:numPr>
      </w:pPr>
      <w:r>
        <w:rPr>
          <w:rFonts w:ascii="Times New Roman" w:hAnsi="Times New Roman"/>
        </w:rPr>
        <w:t xml:space="preserve">Bolus IV de corticoïde + </w:t>
      </w:r>
      <w:r>
        <w:rPr>
          <w:rFonts w:ascii="Times New Roman" w:hAnsi="Times New Roman"/>
        </w:rPr>
        <w:t>chlorambucil</w:t>
      </w:r>
    </w:p>
    <w:p>
      <w:pPr>
        <w:numPr>
          <w:ilvl w:val="1"/>
          <w:numId w:val="8"/>
        </w:numPr>
      </w:pPr>
      <w:r>
        <w:rPr>
          <w:rFonts w:ascii="Times New Roman" w:hAnsi="Times New Roman"/>
        </w:rPr>
        <w:t xml:space="preserve">Cyclophosphamide </w:t>
      </w:r>
      <w:r>
        <w:rPr>
          <w:rFonts w:ascii="Times New Roman" w:hAnsi="Times New Roman"/>
        </w:rPr>
        <w:t>ORAL (</w:t>
      </w:r>
      <w:r>
        <w:rPr>
          <w:rFonts w:ascii="Times New Roman" w:hAnsi="Times New Roman"/>
        </w:rPr>
        <w:t>2mg/kg/</w:t>
      </w:r>
      <w:r>
        <w:rPr>
          <w:rFonts w:ascii="Times New Roman" w:hAnsi="Times New Roman"/>
        </w:rPr>
        <w:t>j)</w:t>
      </w:r>
      <w:r>
        <w:rPr>
          <w:rFonts w:ascii="Times New Roman" w:hAnsi="Times New Roman"/>
        </w:rPr>
        <w:t xml:space="preserve"> (2 </w:t>
      </w:r>
      <w:r>
        <w:rPr>
          <w:rFonts w:ascii="Times New Roman" w:hAnsi="Times New Roman"/>
        </w:rPr>
        <w:t>ans)</w:t>
      </w:r>
    </w:p>
    <w:p>
      <w:pPr>
        <w:numPr>
          <w:ilvl w:val="1"/>
          <w:numId w:val="8"/>
        </w:numPr>
      </w:pPr>
      <w:r>
        <w:rPr>
          <w:rFonts w:ascii="Times New Roman" w:hAnsi="Times New Roman"/>
        </w:rPr>
        <w:t>Ciclosporine 6 mois</w:t>
      </w:r>
    </w:p>
    <w:p>
      <w:pPr>
        <w:numPr>
          <w:ilvl w:val="1"/>
          <w:numId w:val="8"/>
        </w:numPr>
      </w:pPr>
      <w:r>
        <w:rPr>
          <w:rFonts w:ascii="Times New Roman" w:hAnsi="Times New Roman"/>
        </w:rPr>
        <w:t>Tacrolimus</w:t>
      </w:r>
    </w:p>
    <w:p>
      <w:pPr>
        <w:numPr>
          <w:ilvl w:val="2"/>
          <w:numId w:val="8"/>
        </w:numPr>
      </w:pPr>
      <w:r>
        <w:rPr>
          <w:rFonts w:ascii="Times New Roman" w:hAnsi="Times New Roman"/>
          <w:i/>
        </w:rPr>
        <w:t xml:space="preserve">Ciclosporine et tacrolimus : surveiller le taux sérique selon la dose </w:t>
      </w:r>
      <w:r>
        <w:rPr>
          <w:rFonts w:ascii="Times New Roman" w:hAnsi="Times New Roman"/>
          <w:i/>
        </w:rPr>
        <w:t>Vidal,</w:t>
      </w:r>
      <w:r>
        <w:rPr>
          <w:rFonts w:ascii="Times New Roman" w:hAnsi="Times New Roman"/>
          <w:i/>
        </w:rPr>
        <w:t xml:space="preserve"> car très néphrotoxique (marge thérapeutique</w:t>
      </w:r>
      <w:r>
        <w:rPr>
          <w:rFonts w:ascii="Times New Roman" w:hAnsi="Times New Roman"/>
          <w:i/>
        </w:rPr>
        <w:t>).</w:t>
      </w:r>
      <w:r>
        <w:rPr>
          <w:rFonts w:ascii="Times New Roman" w:hAnsi="Times New Roman"/>
          <w:i/>
        </w:rPr>
        <w:t xml:space="preserve"> Tacrolimus : dosable à l’IPM</w:t>
      </w:r>
    </w:p>
    <w:p>
      <w:pPr>
        <w:numPr>
          <w:ilvl w:val="1"/>
          <w:numId w:val="8"/>
        </w:numPr>
      </w:pPr>
      <w:r>
        <w:rPr>
          <w:rFonts w:ascii="Times New Roman" w:hAnsi="Times New Roman"/>
        </w:rPr>
        <w:t>Et traitement étiologique</w:t>
      </w:r>
    </w:p>
    <w:p>
      <w:pPr/>
    </w:p>
    <w:p>
      <w:pPr/>
      <w:r>
        <w:rPr>
          <w:rFonts w:ascii="Times New Roman" w:hAnsi="Times New Roman"/>
          <w:i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