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HYPERKALIEMIE</w:t>
      </w:r>
    </w:p>
    <w:p>
      <w:pPr>
        <w:pStyle w:val="Heading2"/>
      </w:pPr>
      <w:r>
        <w:rPr/>
        <w:t>DEFINITION</w:t>
      </w:r>
    </w:p>
    <w:p>
      <w:pPr/>
      <w:r>
        <w:rPr>
          <w:i/>
        </w:rPr>
        <w:t>Excès de concentration de potassium dans le sang</w:t>
      </w:r>
    </w:p>
    <w:p>
      <w:pPr/>
      <w:r>
        <w:rPr/>
        <w:t>Potassium plasmatique &gt; 5mmol/l</w:t>
      </w:r>
    </w:p>
    <w:p>
      <w:pPr/>
    </w:p>
    <w:p>
      <w:pPr/>
      <w:r>
        <w:rPr>
          <w:b/>
        </w:rPr>
        <w:t xml:space="preserve">L’hyperkaliémie de constitution brutale peut mettre rapidement en jeu le </w:t>
      </w:r>
      <w:r>
        <w:rPr>
          <w:b/>
          <w:u w:val="single"/>
        </w:rPr>
        <w:t>pronostic vital</w:t>
      </w:r>
    </w:p>
    <w:p>
      <w:pPr/>
      <w:r>
        <w:rPr>
          <w:b/>
        </w:rPr>
        <w:t>-&gt;</w:t>
      </w:r>
      <w:r>
        <w:rPr/>
        <w:t xml:space="preserve"> Eliminer les fausses hyperkaliémies :</w:t>
      </w:r>
    </w:p>
    <w:p>
      <w:pPr>
        <w:numPr>
          <w:ilvl w:val="0"/>
          <w:numId w:val="10"/>
        </w:numPr>
      </w:pPr>
      <w:r>
        <w:rPr/>
        <w:t>Hémolyse lors d’un prélèvement laborieux avec un garrot serré</w:t>
      </w:r>
    </w:p>
    <w:p>
      <w:pPr>
        <w:numPr>
          <w:ilvl w:val="0"/>
          <w:numId w:val="10"/>
        </w:numPr>
      </w:pPr>
      <w:r>
        <w:rPr/>
        <w:t>Centrifugation tardive du tube (prélèvement au domicile du patient)</w:t>
      </w:r>
    </w:p>
    <w:p>
      <w:pPr>
        <w:numPr>
          <w:ilvl w:val="0"/>
          <w:numId w:val="10"/>
        </w:numPr>
      </w:pPr>
      <w:r>
        <w:rPr/>
        <w:t>Hyperleucocytose majeure (&gt; 100 000/mm</w:t>
      </w:r>
      <w:r>
        <w:rPr/>
        <w:t>3</w:t>
      </w:r>
      <w:r>
        <w:rPr/>
        <w:t>) ou thrombocytémie (&gt; 1.000.000 /mm</w:t>
      </w:r>
      <w:r>
        <w:rPr/>
        <w:t>3</w:t>
      </w:r>
      <w:r>
        <w:rPr/>
        <w:t>)</w:t>
      </w:r>
    </w:p>
    <w:p>
      <w:pPr>
        <w:pStyle w:val="Heading2"/>
      </w:pPr>
      <w:r>
        <w:rPr/>
        <w:t>DIAGNOSTIC POSITIF</w:t>
      </w:r>
    </w:p>
    <w:p>
      <w:pPr>
        <w:numPr>
          <w:ilvl w:val="0"/>
          <w:numId w:val="11"/>
        </w:numPr>
      </w:pPr>
      <w:r>
        <w:rPr>
          <w:b/>
        </w:rPr>
        <w:t>Signes cardiaques</w:t>
      </w:r>
    </w:p>
    <w:p>
      <w:pPr>
        <w:numPr>
          <w:ilvl w:val="0"/>
          <w:numId w:val="11"/>
        </w:numPr>
      </w:pPr>
      <w:r>
        <w:rPr>
          <w:b/>
        </w:rPr>
        <w:t>Signes musculaires</w:t>
      </w:r>
    </w:p>
    <w:p>
      <w:pPr>
        <w:numPr>
          <w:ilvl w:val="0"/>
          <w:numId w:val="11"/>
        </w:numPr>
      </w:pPr>
      <w:r>
        <w:rPr>
          <w:b/>
        </w:rPr>
        <w:t>Signes métaboliques</w:t>
      </w:r>
    </w:p>
    <w:p>
      <w:pPr/>
    </w:p>
    <w:p>
      <w:pPr>
        <w:pStyle w:val="Heading3"/>
        <w:numPr>
          <w:ilvl w:val="0"/>
          <w:numId w:val="21"/>
        </w:numPr>
      </w:pPr>
      <w:r>
        <w:rPr/>
        <w:t xml:space="preserve">Signes </w:t>
      </w:r>
      <w:r>
        <w:rPr/>
        <w:t>cardiaques :</w:t>
      </w:r>
      <w:r>
        <w:rPr/>
        <w:t xml:space="preserve"> signes ECG </w:t>
      </w:r>
      <w:r>
        <w:rPr>
          <w:b w:val="0"/>
          <w:color w:val="000000"/>
          <w:u w:val="none"/>
        </w:rPr>
        <w:t>(tracés évolutifs en fonction de la gravité de l’hyperkaliémie) ++++</w:t>
      </w:r>
    </w:p>
    <w:p>
      <w:pPr>
        <w:numPr>
          <w:ilvl w:val="1"/>
          <w:numId w:val="12"/>
        </w:numPr>
      </w:pPr>
      <w:r>
        <w:rPr/>
        <w:t>Onde T ample, pointue sur toutes les dérivations</w:t>
      </w:r>
    </w:p>
    <w:p>
      <w:pPr>
        <w:numPr>
          <w:ilvl w:val="1"/>
          <w:numId w:val="12"/>
        </w:numPr>
      </w:pPr>
      <w:r>
        <w:rPr/>
        <w:t>Disparition de l’onde P</w:t>
      </w:r>
    </w:p>
    <w:p>
      <w:pPr>
        <w:numPr>
          <w:ilvl w:val="1"/>
          <w:numId w:val="12"/>
        </w:numPr>
      </w:pPr>
      <w:r>
        <w:rPr/>
        <w:t>Bloc sino-auriculaire</w:t>
      </w:r>
    </w:p>
    <w:p>
      <w:pPr>
        <w:numPr>
          <w:ilvl w:val="1"/>
          <w:numId w:val="12"/>
        </w:numPr>
      </w:pPr>
      <w:r>
        <w:rPr/>
        <w:t>Élargissement de QRS</w:t>
      </w:r>
    </w:p>
    <w:p>
      <w:pPr>
        <w:numPr>
          <w:ilvl w:val="1"/>
          <w:numId w:val="12"/>
        </w:numPr>
      </w:pPr>
      <w:r>
        <w:rPr/>
        <w:t>Tachycardie ventriculaire</w:t>
      </w:r>
    </w:p>
    <w:p>
      <w:pPr>
        <w:numPr>
          <w:ilvl w:val="1"/>
          <w:numId w:val="12"/>
        </w:numPr>
      </w:pPr>
      <w:r>
        <w:rPr/>
        <w:t>Fibrillation ventriculaire</w:t>
      </w:r>
    </w:p>
    <w:p>
      <w:pPr>
        <w:numPr>
          <w:ilvl w:val="1"/>
          <w:numId w:val="12"/>
        </w:numPr>
      </w:pPr>
      <w:r>
        <w:drawing>
          <wp:inline xmlns:a="http://schemas.openxmlformats.org/drawingml/2006/main" xmlns:pic="http://schemas.openxmlformats.org/drawingml/2006/picture">
            <wp:extent cx="23228300" cy="1737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0" cy="1737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numPr>
          <w:ilvl w:val="0"/>
          <w:numId w:val="21"/>
        </w:numPr>
      </w:pPr>
      <w:r>
        <w:rPr/>
        <w:t xml:space="preserve">Signes </w:t>
      </w:r>
      <w:r>
        <w:rPr/>
        <w:t>neuromusculaires</w:t>
      </w:r>
    </w:p>
    <w:p>
      <w:pPr>
        <w:numPr>
          <w:ilvl w:val="1"/>
          <w:numId w:val="12"/>
        </w:numPr>
      </w:pPr>
      <w:r>
        <w:rPr/>
        <w:t xml:space="preserve">Paresthésies des extrémités et </w:t>
      </w:r>
      <w:r>
        <w:rPr>
          <w:b/>
          <w:u w:val="single"/>
        </w:rPr>
        <w:t>péribuccales</w:t>
      </w:r>
    </w:p>
    <w:p>
      <w:pPr>
        <w:numPr>
          <w:ilvl w:val="1"/>
          <w:numId w:val="12"/>
        </w:numPr>
      </w:pPr>
      <w:r>
        <w:rPr/>
        <w:t>Faiblesse musculaire ou paralysie d’évolution ascendante</w:t>
      </w:r>
    </w:p>
    <w:p>
      <w:pPr>
        <w:numPr>
          <w:ilvl w:val="1"/>
          <w:numId w:val="12"/>
        </w:numPr>
      </w:pPr>
      <w:r>
        <w:rPr>
          <w:i/>
        </w:rPr>
        <w:t>Reins normaux sans IR, sans facteur prédisposant : on n’aura pas d’hyperkaliémie</w:t>
      </w:r>
    </w:p>
    <w:p>
      <w:pPr>
        <w:numPr>
          <w:ilvl w:val="1"/>
          <w:numId w:val="12"/>
        </w:numPr>
      </w:pPr>
      <w:r>
        <w:rPr>
          <w:i/>
        </w:rPr>
        <w:t xml:space="preserve">Ces signes sont retrouvés chez un terrain à risque, prédisposé. </w:t>
      </w:r>
    </w:p>
    <w:p>
      <w:pPr>
        <w:pStyle w:val="Heading3"/>
        <w:numPr>
          <w:ilvl w:val="0"/>
          <w:numId w:val="21"/>
        </w:numPr>
      </w:pPr>
      <w:r>
        <w:rPr/>
        <w:t xml:space="preserve">Signes </w:t>
      </w:r>
      <w:r>
        <w:rPr/>
        <w:t>métaboliques</w:t>
      </w:r>
      <w:r>
        <w:rPr/>
        <w:t xml:space="preserve"> :</w:t>
      </w:r>
    </w:p>
    <w:p>
      <w:pPr>
        <w:numPr>
          <w:ilvl w:val="1"/>
          <w:numId w:val="12"/>
        </w:numPr>
      </w:pPr>
      <w:r>
        <w:rPr/>
        <w:t>Acidose métabolique</w:t>
      </w:r>
    </w:p>
    <w:p>
      <w:pPr>
        <w:pStyle w:val="Heading2"/>
      </w:pPr>
      <w:r>
        <w:rPr/>
        <w:t>DIAGNOSTIC ETIOLOGIQUE</w:t>
      </w:r>
    </w:p>
    <w:p>
      <w:pPr>
        <w:numPr>
          <w:ilvl w:val="0"/>
          <w:numId w:val="13"/>
        </w:numPr>
      </w:pPr>
      <w:r>
        <w:rPr/>
        <w:t>Excès d’apport</w:t>
      </w:r>
    </w:p>
    <w:p>
      <w:pPr>
        <w:numPr>
          <w:ilvl w:val="0"/>
          <w:numId w:val="13"/>
        </w:numPr>
      </w:pPr>
      <w:r>
        <w:rPr/>
        <w:t>Transfert</w:t>
      </w:r>
    </w:p>
    <w:p>
      <w:pPr>
        <w:numPr>
          <w:ilvl w:val="0"/>
          <w:numId w:val="13"/>
        </w:numPr>
      </w:pPr>
      <w:r>
        <w:rPr/>
        <w:t>Réduction de l’excrétion</w:t>
      </w:r>
    </w:p>
    <w:p>
      <w:pPr/>
    </w:p>
    <w:p>
      <w:pPr>
        <w:pStyle w:val="Heading3"/>
        <w:numPr>
          <w:ilvl w:val="0"/>
          <w:numId w:val="22"/>
        </w:numPr>
      </w:pPr>
      <w:r>
        <w:rPr/>
        <w:t>Excès d’apport</w:t>
      </w:r>
    </w:p>
    <w:p>
      <w:pPr>
        <w:numPr>
          <w:ilvl w:val="1"/>
          <w:numId w:val="14"/>
        </w:numPr>
      </w:pPr>
      <w:r>
        <w:rPr/>
        <w:t xml:space="preserve">Excès abusif d’apport </w:t>
      </w:r>
      <w:r>
        <w:rPr>
          <w:u w:val="single"/>
        </w:rPr>
        <w:t>avec des facteurs prédisposants (IRC)</w:t>
      </w:r>
      <w:r>
        <w:rPr/>
        <w:t xml:space="preserve"> : diurétique antikaliurétique, bloqueurs SRAA</w:t>
      </w:r>
    </w:p>
    <w:p>
      <w:pPr>
        <w:pStyle w:val="Heading3"/>
        <w:numPr>
          <w:ilvl w:val="0"/>
          <w:numId w:val="22"/>
        </w:numPr>
      </w:pPr>
      <w:r>
        <w:rPr/>
        <w:t>Transfert</w:t>
      </w:r>
    </w:p>
    <w:p>
      <w:pPr>
        <w:numPr>
          <w:ilvl w:val="1"/>
          <w:numId w:val="14"/>
        </w:numPr>
      </w:pPr>
      <w:r>
        <w:rPr/>
        <w:t>Acidose métabolique</w:t>
      </w:r>
    </w:p>
    <w:p>
      <w:pPr>
        <w:numPr>
          <w:ilvl w:val="1"/>
          <w:numId w:val="14"/>
        </w:numPr>
      </w:pPr>
      <w:r>
        <w:rPr/>
        <w:t>Catabolisme cellulaire accrue</w:t>
      </w:r>
    </w:p>
    <w:p>
      <w:pPr>
        <w:numPr>
          <w:ilvl w:val="1"/>
          <w:numId w:val="14"/>
        </w:numPr>
      </w:pPr>
      <w:r>
        <w:rPr/>
        <w:t>Causes médicamenteuses et toxiques</w:t>
      </w:r>
      <w:r>
        <w:rPr/>
        <w:br/>
      </w:r>
    </w:p>
    <w:p>
      <w:pPr>
        <w:numPr>
          <w:ilvl w:val="2"/>
          <w:numId w:val="14"/>
        </w:numPr>
      </w:pPr>
      <w:r>
        <w:rPr>
          <w:b/>
        </w:rPr>
        <w:t>Acidose métabolique</w:t>
      </w:r>
    </w:p>
    <w:p>
      <w:pPr>
        <w:numPr>
          <w:ilvl w:val="3"/>
          <w:numId w:val="14"/>
        </w:numPr>
      </w:pPr>
      <w:r>
        <w:rPr/>
        <w:t xml:space="preserve">Une acidose aiguë est responsable d’une hyperkaliémie par transfert extracellulaire de potassium </w:t>
      </w:r>
    </w:p>
    <w:p>
      <w:pPr>
        <w:numPr>
          <w:ilvl w:val="2"/>
          <w:numId w:val="14"/>
        </w:numPr>
      </w:pPr>
      <w:r>
        <w:rPr>
          <w:b/>
        </w:rPr>
        <w:t>Catabolisme cellulaire accrue</w:t>
      </w:r>
    </w:p>
    <w:p>
      <w:pPr>
        <w:numPr>
          <w:ilvl w:val="3"/>
          <w:numId w:val="14"/>
        </w:numPr>
      </w:pPr>
      <w:r>
        <w:rPr/>
        <w:t>Rhabdomyolyse et écrasement musculaire</w:t>
      </w:r>
    </w:p>
    <w:p>
      <w:pPr>
        <w:numPr>
          <w:ilvl w:val="3"/>
          <w:numId w:val="14"/>
        </w:numPr>
      </w:pPr>
      <w:r>
        <w:rPr/>
        <w:t>Brûlures étendues, hémolyse massive</w:t>
      </w:r>
    </w:p>
    <w:p>
      <w:pPr>
        <w:numPr>
          <w:ilvl w:val="3"/>
          <w:numId w:val="14"/>
        </w:numPr>
      </w:pPr>
      <w:r>
        <w:rPr/>
        <w:t>Lyse tumorale spontanée ou au cours d’une chimiothérapie</w:t>
      </w:r>
    </w:p>
    <w:p>
      <w:pPr>
        <w:numPr>
          <w:ilvl w:val="3"/>
          <w:numId w:val="14"/>
        </w:numPr>
      </w:pPr>
      <w:r>
        <w:rPr/>
        <w:t>Syndrome de revascularisation post-opératoire</w:t>
      </w:r>
    </w:p>
    <w:p>
      <w:pPr>
        <w:numPr>
          <w:ilvl w:val="3"/>
          <w:numId w:val="14"/>
        </w:numPr>
      </w:pPr>
      <w:r>
        <w:rPr/>
        <w:t>Hémorragie digestive sévère</w:t>
      </w:r>
    </w:p>
    <w:p>
      <w:pPr>
        <w:numPr>
          <w:ilvl w:val="3"/>
          <w:numId w:val="14"/>
        </w:numPr>
      </w:pPr>
      <w:r>
        <w:rPr/>
        <w:t xml:space="preserve">Hypothermie </w:t>
      </w:r>
    </w:p>
    <w:p>
      <w:pPr>
        <w:numPr>
          <w:ilvl w:val="2"/>
          <w:numId w:val="14"/>
        </w:numPr>
      </w:pPr>
      <w:r>
        <w:rPr>
          <w:b/>
        </w:rPr>
        <w:t>Causes médicamenteuses et toxiques</w:t>
      </w:r>
    </w:p>
    <w:p>
      <w:pPr>
        <w:numPr>
          <w:ilvl w:val="3"/>
          <w:numId w:val="14"/>
        </w:numPr>
      </w:pPr>
      <w:r>
        <w:rPr/>
        <w:t xml:space="preserve">Les </w:t>
      </w:r>
      <w:r>
        <w:rPr>
          <w:rFonts w:ascii="Symbol" w:hAnsi="Symbol"/>
        </w:rPr>
        <w:t>b</w:t>
      </w:r>
      <w:r>
        <w:rPr/>
        <w:t>-bloquants non sélectifs</w:t>
      </w:r>
    </w:p>
    <w:p>
      <w:pPr>
        <w:numPr>
          <w:ilvl w:val="3"/>
          <w:numId w:val="14"/>
        </w:numPr>
      </w:pPr>
      <w:r>
        <w:rPr/>
        <w:t>L’intoxication</w:t>
      </w:r>
      <w:r>
        <w:rPr/>
        <w:t xml:space="preserve"> digitalique</w:t>
      </w:r>
    </w:p>
    <w:p>
      <w:pPr>
        <w:numPr>
          <w:ilvl w:val="3"/>
          <w:numId w:val="14"/>
        </w:numPr>
      </w:pPr>
      <w:r>
        <w:rPr/>
        <w:t xml:space="preserve">Les agonistes </w:t>
      </w:r>
      <w:r>
        <w:rPr>
          <w:rFonts w:ascii="Symbol" w:hAnsi="Symbol"/>
        </w:rPr>
        <w:t>a</w:t>
      </w:r>
      <w:r>
        <w:rPr/>
        <w:t>-adrénergiques</w:t>
      </w:r>
    </w:p>
    <w:p>
      <w:pPr>
        <w:numPr>
          <w:ilvl w:val="3"/>
          <w:numId w:val="14"/>
        </w:numPr>
      </w:pPr>
      <w:r>
        <w:rPr/>
        <w:t>AINS</w:t>
      </w:r>
    </w:p>
    <w:p>
      <w:pPr>
        <w:numPr>
          <w:ilvl w:val="3"/>
          <w:numId w:val="14"/>
        </w:numPr>
      </w:pPr>
      <w:r>
        <w:rPr/>
        <w:t>Ciclosporine A</w:t>
      </w:r>
    </w:p>
    <w:p>
      <w:pPr>
        <w:numPr>
          <w:ilvl w:val="3"/>
          <w:numId w:val="14"/>
        </w:numPr>
      </w:pPr>
      <w:r>
        <w:rPr/>
        <w:t>Tacrolimus</w:t>
      </w:r>
    </w:p>
    <w:p>
      <w:pPr>
        <w:numPr>
          <w:ilvl w:val="3"/>
          <w:numId w:val="14"/>
        </w:numPr>
      </w:pPr>
      <w:r>
        <w:rPr/>
        <w:t>Héparine, HBPM</w:t>
      </w:r>
    </w:p>
    <w:p>
      <w:pPr>
        <w:numPr>
          <w:ilvl w:val="3"/>
          <w:numId w:val="14"/>
        </w:numPr>
      </w:pPr>
      <w:r>
        <w:rPr>
          <w:b/>
        </w:rPr>
        <w:t>IEC et ARA2 (</w:t>
      </w:r>
      <w:r>
        <w:rPr>
          <w:b/>
          <w:i/>
        </w:rPr>
        <w:t>bloquent l’action de l’aldostérone -&gt; hyperkaliémie)</w:t>
      </w:r>
    </w:p>
    <w:p>
      <w:pPr>
        <w:pStyle w:val="Heading3"/>
        <w:numPr>
          <w:ilvl w:val="0"/>
          <w:numId w:val="22"/>
        </w:numPr>
      </w:pPr>
      <w:r>
        <w:rPr/>
        <w:t>Réduction de l’excrétion</w:t>
      </w:r>
    </w:p>
    <w:p>
      <w:pPr>
        <w:numPr>
          <w:ilvl w:val="1"/>
          <w:numId w:val="14"/>
        </w:numPr>
      </w:pPr>
      <w:r>
        <w:rPr/>
        <w:t>Insuffisance rénale aiguë et chronique</w:t>
      </w:r>
    </w:p>
    <w:p>
      <w:pPr>
        <w:numPr>
          <w:ilvl w:val="1"/>
          <w:numId w:val="14"/>
        </w:numPr>
      </w:pPr>
      <w:r>
        <w:rPr/>
        <w:t xml:space="preserve">Primitive : insuffisance surrénalienne (maladie d’Addison : </w:t>
      </w:r>
      <w:r>
        <w:rPr>
          <w:i/>
        </w:rPr>
        <w:t>IS /Ac attaquant la cortico-surrénale-&gt; manque d’aldostérone -&gt; défaut d’élimination de potassium au niveau rénal)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  <w:numPr>
          <w:ilvl w:val="0"/>
          <w:numId w:val="23"/>
        </w:numPr>
      </w:pPr>
      <w:r>
        <w:rPr/>
        <w:t>MOYENS THERAPEUTIQUES</w:t>
      </w:r>
    </w:p>
    <w:p>
      <w:pPr>
        <w:numPr>
          <w:ilvl w:val="1"/>
          <w:numId w:val="17"/>
        </w:numPr>
      </w:pPr>
      <w:r>
        <w:rPr>
          <w:b/>
        </w:rPr>
        <w:t>Les antagonistes membranaires directs</w:t>
      </w:r>
    </w:p>
    <w:p>
      <w:pPr>
        <w:numPr>
          <w:ilvl w:val="1"/>
          <w:numId w:val="17"/>
        </w:numPr>
      </w:pPr>
      <w:r>
        <w:rPr>
          <w:b/>
        </w:rPr>
        <w:t>Transfert du potassium vers le compartiment intracellulaire</w:t>
      </w:r>
    </w:p>
    <w:p>
      <w:pPr>
        <w:numPr>
          <w:ilvl w:val="1"/>
          <w:numId w:val="17"/>
        </w:numPr>
      </w:pPr>
      <w:r>
        <w:rPr>
          <w:b/>
        </w:rPr>
        <w:t>Elimination de la surcharge potassique</w:t>
      </w:r>
      <w:r>
        <w:rPr>
          <w:b/>
        </w:rPr>
        <w:br/>
      </w:r>
      <w:r>
        <w:rPr/>
        <w:br/>
      </w:r>
      <w:r>
        <w:rPr>
          <w:i/>
        </w:rPr>
        <w:t xml:space="preserve">en théorie : K </w:t>
      </w:r>
      <w:r>
        <w:rPr>
          <w:rFonts w:ascii="Symbol" w:hAnsi="Symbol"/>
          <w:i/>
        </w:rPr>
      </w:r>
      <w:r>
        <w:rPr/>
        <w:t xml:space="preserve"> 8mmol/l = létal, </w:t>
      </w:r>
      <w:r>
        <w:rPr>
          <w:i/>
        </w:rPr>
        <w:t>mais il peut y avoir des exceptions</w:t>
      </w:r>
      <w:r>
        <w:rPr>
          <w:i/>
        </w:rPr>
        <w:br/>
      </w:r>
    </w:p>
    <w:p>
      <w:pPr>
        <w:pStyle w:val="Heading4"/>
        <w:numPr>
          <w:ilvl w:val="0"/>
          <w:numId w:val="24"/>
        </w:numPr>
      </w:pPr>
      <w:r>
        <w:rPr/>
        <w:t xml:space="preserve">Les antagonistes membranaires directs (qui vont protéger le </w:t>
      </w:r>
      <w:r>
        <w:rPr/>
        <w:t>cœur</w:t>
      </w:r>
      <w:r>
        <w:rPr/>
        <w:t>, stabilise les membranes pour éviter les troubles du rythme</w:t>
      </w:r>
    </w:p>
    <w:p>
      <w:pPr>
        <w:numPr>
          <w:ilvl w:val="2"/>
          <w:numId w:val="17"/>
        </w:numPr>
      </w:pPr>
      <w:r>
        <w:rPr>
          <w:b/>
        </w:rPr>
        <w:t>Chlorure ou gluconate de calcium à 10%</w:t>
      </w:r>
    </w:p>
    <w:p>
      <w:pPr>
        <w:numPr>
          <w:ilvl w:val="3"/>
          <w:numId w:val="17"/>
        </w:numPr>
      </w:pPr>
      <w:r>
        <w:rPr/>
        <w:t>1 ampoule de 10 ml en IV en 2 à 3 minutes</w:t>
      </w:r>
    </w:p>
    <w:p>
      <w:pPr>
        <w:numPr>
          <w:ilvl w:val="3"/>
          <w:numId w:val="17"/>
        </w:numPr>
      </w:pPr>
      <w:r>
        <w:rPr/>
        <w:t>Agit en 1 à 3 minutes</w:t>
      </w:r>
    </w:p>
    <w:p>
      <w:pPr>
        <w:numPr>
          <w:ilvl w:val="3"/>
          <w:numId w:val="17"/>
        </w:numPr>
      </w:pPr>
      <w:r>
        <w:rPr/>
        <w:t>Nouvelle injection en cas d’inefficacité après 5 minutes (surveillance ECG)</w:t>
      </w:r>
    </w:p>
    <w:p>
      <w:pPr>
        <w:pStyle w:val="Heading4"/>
        <w:numPr>
          <w:ilvl w:val="0"/>
          <w:numId w:val="24"/>
        </w:numPr>
      </w:pPr>
      <w:r>
        <w:rPr/>
        <w:t xml:space="preserve">Transfert du </w:t>
      </w:r>
      <w:r>
        <w:rPr/>
        <w:t>potassium</w:t>
      </w:r>
      <w:r>
        <w:rPr/>
        <w:t xml:space="preserve"> vers le compartiment intracellulaire</w:t>
      </w:r>
    </w:p>
    <w:p>
      <w:pPr>
        <w:numPr>
          <w:ilvl w:val="2"/>
          <w:numId w:val="17"/>
        </w:numPr>
      </w:pPr>
      <w:r>
        <w:rPr/>
        <w:t>Insuline</w:t>
      </w:r>
    </w:p>
    <w:p>
      <w:pPr>
        <w:numPr>
          <w:ilvl w:val="2"/>
          <w:numId w:val="17"/>
        </w:numPr>
      </w:pPr>
      <w:r>
        <w:rPr/>
        <w:t>Salbutamol</w:t>
      </w:r>
    </w:p>
    <w:p>
      <w:pPr>
        <w:numPr>
          <w:ilvl w:val="2"/>
          <w:numId w:val="17"/>
        </w:numPr>
      </w:pPr>
      <w:r>
        <w:rPr/>
        <w:t xml:space="preserve">Alcalinisation </w:t>
      </w:r>
      <w:r>
        <w:rPr/>
        <w:br/>
      </w:r>
    </w:p>
    <w:p>
      <w:pPr>
        <w:numPr>
          <w:ilvl w:val="3"/>
          <w:numId w:val="17"/>
        </w:numPr>
      </w:pPr>
      <w:r>
        <w:rPr>
          <w:b/>
        </w:rPr>
        <w:t>INSULINE</w:t>
      </w:r>
    </w:p>
    <w:p>
      <w:pPr>
        <w:numPr>
          <w:ilvl w:val="4"/>
          <w:numId w:val="17"/>
        </w:numPr>
      </w:pPr>
      <w:r>
        <w:rPr/>
        <w:t>SGH à 10% associé à 12 à 16 UI d’insuline ordinaire en IV</w:t>
      </w:r>
    </w:p>
    <w:p>
      <w:pPr>
        <w:numPr>
          <w:ilvl w:val="5"/>
          <w:numId w:val="17"/>
        </w:numPr>
      </w:pPr>
      <w:r>
        <w:rPr/>
        <w:t>Agit en 1 à 2 heures</w:t>
      </w:r>
    </w:p>
    <w:p>
      <w:pPr>
        <w:numPr>
          <w:ilvl w:val="3"/>
          <w:numId w:val="17"/>
        </w:numPr>
      </w:pPr>
      <w:r>
        <w:rPr>
          <w:b/>
        </w:rPr>
        <w:t>SALBUTAMOL (</w:t>
      </w:r>
      <w:r>
        <w:rPr>
          <w:b/>
          <w:i/>
        </w:rPr>
        <w:t>effets secondaires</w:t>
      </w:r>
      <w:r>
        <w:rPr>
          <w:b/>
          <w:i/>
        </w:rPr>
        <w:t xml:space="preserve"> : tachycardie, vasoconstriction généralisée, etc)</w:t>
      </w:r>
    </w:p>
    <w:p>
      <w:pPr>
        <w:numPr>
          <w:ilvl w:val="4"/>
          <w:numId w:val="17"/>
        </w:numPr>
      </w:pPr>
      <w:r>
        <w:rPr/>
        <w:t>4 fois celle de l’asthme (= 20mg en nébulisation)</w:t>
      </w:r>
    </w:p>
    <w:p>
      <w:pPr>
        <w:numPr>
          <w:ilvl w:val="4"/>
          <w:numId w:val="17"/>
        </w:numPr>
      </w:pPr>
      <w:r>
        <w:rPr/>
        <w:t>Contre-indication</w:t>
      </w:r>
      <w:r>
        <w:rPr/>
        <w:t xml:space="preserve"> : sujets coronariens (</w:t>
      </w:r>
      <w:r>
        <w:rPr>
          <w:i/>
        </w:rPr>
        <w:t>tachycardie -&gt; raccourcissement du temps diastolique -&gt; baisse de l’irrigation du coeur -&gt; trouble myocardique pouvant être létal</w:t>
      </w:r>
    </w:p>
    <w:p>
      <w:pPr>
        <w:numPr>
          <w:ilvl w:val="3"/>
          <w:numId w:val="17"/>
        </w:numPr>
      </w:pPr>
      <w:r>
        <w:rPr>
          <w:b/>
        </w:rPr>
        <w:t>ALCALINISATION</w:t>
      </w:r>
    </w:p>
    <w:p>
      <w:pPr>
        <w:numPr>
          <w:ilvl w:val="4"/>
          <w:numId w:val="17"/>
        </w:numPr>
      </w:pPr>
      <w:r>
        <w:rPr/>
        <w:t>Soluté bicarbonaté isotonique (1,4 g%)</w:t>
      </w:r>
    </w:p>
    <w:p>
      <w:pPr>
        <w:numPr>
          <w:ilvl w:val="4"/>
          <w:numId w:val="17"/>
        </w:numPr>
      </w:pPr>
      <w:r>
        <w:rPr/>
        <w:t>Délai d’action : entre 30 et 60 minutes</w:t>
      </w:r>
    </w:p>
    <w:p>
      <w:pPr>
        <w:pStyle w:val="Heading4"/>
        <w:numPr>
          <w:ilvl w:val="0"/>
          <w:numId w:val="24"/>
        </w:numPr>
      </w:pPr>
      <w:r>
        <w:rPr/>
        <w:t>Elimination de la surcharge potassique</w:t>
      </w:r>
    </w:p>
    <w:p>
      <w:pPr>
        <w:numPr>
          <w:ilvl w:val="2"/>
          <w:numId w:val="17"/>
        </w:numPr>
      </w:pPr>
      <w:r>
        <w:rPr/>
        <w:t>Diurétiques de l’anse</w:t>
      </w:r>
    </w:p>
    <w:p>
      <w:pPr>
        <w:numPr>
          <w:ilvl w:val="2"/>
          <w:numId w:val="17"/>
        </w:numPr>
      </w:pPr>
      <w:r>
        <w:rPr/>
        <w:t>Résines échangeuses d’ions</w:t>
      </w:r>
    </w:p>
    <w:p>
      <w:pPr>
        <w:numPr>
          <w:ilvl w:val="2"/>
          <w:numId w:val="17"/>
        </w:numPr>
      </w:pPr>
      <w:r>
        <w:rPr/>
        <w:t>Epuration extrarénale par hémodialyse</w:t>
      </w:r>
      <w:r>
        <w:rPr/>
        <w:br/>
      </w:r>
    </w:p>
    <w:p>
      <w:pPr>
        <w:pStyle w:val="Heading5"/>
        <w:numPr>
          <w:ilvl w:val="0"/>
          <w:numId w:val="25"/>
        </w:numPr>
      </w:pPr>
      <w:r>
        <w:rPr/>
        <w:t>Diurétiques de l’anse</w:t>
      </w:r>
    </w:p>
    <w:p>
      <w:pPr>
        <w:numPr>
          <w:ilvl w:val="4"/>
          <w:numId w:val="17"/>
        </w:numPr>
      </w:pPr>
      <w:r>
        <w:rPr/>
        <w:t>Furosémide, bumétamide</w:t>
      </w:r>
    </w:p>
    <w:p>
      <w:pPr>
        <w:numPr>
          <w:ilvl w:val="4"/>
          <w:numId w:val="17"/>
        </w:numPr>
      </w:pPr>
      <w:r>
        <w:rPr/>
        <w:t>Délai d’action : 1 à 4h</w:t>
      </w:r>
    </w:p>
    <w:p>
      <w:pPr>
        <w:numPr>
          <w:ilvl w:val="4"/>
          <w:numId w:val="17"/>
        </w:numPr>
      </w:pPr>
      <w:r>
        <w:rPr>
          <w:i/>
        </w:rPr>
        <w:t>Augmentation du débit urinaire, augmentation de l’action de la pompe Na-K -&gt; augmentation de l’élimination de K</w:t>
      </w:r>
    </w:p>
    <w:p>
      <w:pPr>
        <w:pStyle w:val="Heading5"/>
        <w:numPr>
          <w:ilvl w:val="0"/>
          <w:numId w:val="25"/>
        </w:numPr>
      </w:pPr>
      <w:r>
        <w:rPr/>
        <w:t xml:space="preserve">Résines </w:t>
      </w:r>
      <w:r>
        <w:rPr/>
        <w:t>échangeuses</w:t>
      </w:r>
      <w:r>
        <w:rPr/>
        <w:t xml:space="preserve"> d’ions</w:t>
      </w:r>
    </w:p>
    <w:p>
      <w:pPr>
        <w:numPr>
          <w:ilvl w:val="4"/>
          <w:numId w:val="17"/>
        </w:numPr>
      </w:pPr>
      <w:r>
        <w:rPr/>
        <w:t>Échange au niveau de la muqueuse digestive de potassium contre un autre ion</w:t>
      </w:r>
    </w:p>
    <w:p>
      <w:pPr>
        <w:numPr>
          <w:ilvl w:val="5"/>
          <w:numId w:val="17"/>
        </w:numPr>
      </w:pPr>
      <w:r>
        <w:rPr>
          <w:b/>
        </w:rPr>
        <w:t xml:space="preserve">Kayexalate : </w:t>
      </w:r>
      <w:r>
        <w:rPr/>
        <w:t>échange un ion potassium contre un ion sodium : 15 à 30 g toutes les 4 à 6 heures en p.o ou 50 à 100g en lavement</w:t>
      </w:r>
    </w:p>
    <w:p>
      <w:pPr>
        <w:numPr>
          <w:ilvl w:val="5"/>
          <w:numId w:val="17"/>
        </w:numPr>
      </w:pPr>
      <w:r>
        <w:rPr>
          <w:b/>
        </w:rPr>
        <w:t xml:space="preserve">Resikali : </w:t>
      </w:r>
      <w:r>
        <w:rPr/>
        <w:t>sulfonate de calcium</w:t>
      </w:r>
    </w:p>
    <w:p>
      <w:pPr>
        <w:pStyle w:val="Heading5"/>
        <w:numPr>
          <w:ilvl w:val="0"/>
          <w:numId w:val="25"/>
        </w:numPr>
      </w:pPr>
      <w:r>
        <w:rPr/>
        <w:t xml:space="preserve">Epuration </w:t>
      </w:r>
      <w:r>
        <w:rPr/>
        <w:t>extra</w:t>
      </w:r>
      <w:r>
        <w:rPr/>
        <w:t>-rénale</w:t>
      </w:r>
    </w:p>
    <w:p>
      <w:pPr>
        <w:numPr>
          <w:ilvl w:val="4"/>
          <w:numId w:val="17"/>
        </w:numPr>
      </w:pPr>
      <w:r>
        <w:rPr/>
        <w:t>Moyen le plus efficace mais nécessite des préparations +++</w:t>
      </w:r>
    </w:p>
    <w:p>
      <w:pPr>
        <w:pStyle w:val="Heading3"/>
        <w:numPr>
          <w:ilvl w:val="0"/>
          <w:numId w:val="23"/>
        </w:numPr>
      </w:pPr>
      <w:r>
        <w:rPr/>
        <w:t>INDICATIONS</w:t>
      </w:r>
    </w:p>
    <w:p>
      <w:pPr>
        <w:pStyle w:val="Heading4"/>
      </w:pPr>
      <w:r>
        <w:rPr/>
        <w:t>1ER CAS : Hyperkaliémie sévère (&gt; 7 mmol/L)</w:t>
      </w:r>
    </w:p>
    <w:p>
      <w:pPr>
        <w:numPr>
          <w:ilvl w:val="2"/>
          <w:numId w:val="17"/>
        </w:numPr>
      </w:pPr>
      <w:r>
        <w:rPr>
          <w:b/>
        </w:rPr>
        <w:t>Urgence absolue</w:t>
      </w:r>
    </w:p>
    <w:p>
      <w:pPr>
        <w:numPr>
          <w:ilvl w:val="3"/>
          <w:numId w:val="17"/>
        </w:numPr>
      </w:pPr>
      <w:r>
        <w:rPr/>
        <w:t>Calcium par voie intraveineuse</w:t>
      </w:r>
    </w:p>
    <w:p>
      <w:pPr>
        <w:numPr>
          <w:ilvl w:val="3"/>
          <w:numId w:val="17"/>
        </w:numPr>
      </w:pPr>
      <w:r>
        <w:rPr/>
        <w:t>Puis soluté glucosé et insuline</w:t>
      </w:r>
    </w:p>
    <w:p>
      <w:pPr>
        <w:numPr>
          <w:ilvl w:val="3"/>
          <w:numId w:val="17"/>
        </w:numPr>
      </w:pPr>
      <w:r>
        <w:rPr/>
        <w:t>Salbutamol si pas de contre-indication</w:t>
      </w:r>
    </w:p>
    <w:p>
      <w:pPr>
        <w:numPr>
          <w:ilvl w:val="3"/>
          <w:numId w:val="17"/>
        </w:numPr>
      </w:pPr>
      <w:r>
        <w:rPr/>
        <w:t>Si acidose associée : soluté bicarbonaté et Résine* en lavement</w:t>
      </w:r>
    </w:p>
    <w:p>
      <w:pPr>
        <w:numPr>
          <w:ilvl w:val="3"/>
          <w:numId w:val="17"/>
        </w:numPr>
      </w:pPr>
      <w:r>
        <w:rPr/>
        <w:t>-&gt; dans l’attente de l’épuration extrarénale</w:t>
      </w:r>
    </w:p>
    <w:p>
      <w:pPr>
        <w:pStyle w:val="Heading4"/>
      </w:pPr>
      <w:r>
        <w:rPr/>
        <w:t>2ème cas : Hyperkaliémie modérée</w:t>
      </w:r>
    </w:p>
    <w:p>
      <w:pPr>
        <w:numPr>
          <w:ilvl w:val="3"/>
          <w:numId w:val="17"/>
        </w:numPr>
      </w:pPr>
      <w:r>
        <w:rPr/>
        <w:t>Diminution des apports potassiques alimentaires et intraveineux</w:t>
      </w:r>
    </w:p>
    <w:p>
      <w:pPr>
        <w:numPr>
          <w:ilvl w:val="3"/>
          <w:numId w:val="17"/>
        </w:numPr>
      </w:pPr>
      <w:r>
        <w:rPr/>
        <w:t>Les résines échangeuses d’ions per os</w:t>
      </w:r>
    </w:p>
    <w:p>
      <w:pPr>
        <w:numPr>
          <w:ilvl w:val="3"/>
          <w:numId w:val="17"/>
        </w:numPr>
      </w:pPr>
      <w:r>
        <w:rPr/>
        <w:t>Bicarbonate per os en cas d’acidose (2 à 4 g de bicarbonate de Na par jour) et l’éviction des médicaments hyperkaliémiants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