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La GloméruloNéphrite à dépôts mésangiaux d’Immunoglobuline A</w:t>
      </w:r>
    </w:p>
    <w:p>
      <w:pPr>
        <w:pStyle w:val="Heading2"/>
      </w:pPr>
      <w:r>
        <w:rPr>
          <w:rFonts w:ascii="Times New Roman" w:hAnsi="Times New Roman"/>
        </w:rPr>
        <w:t>Objectifs :</w:t>
      </w:r>
    </w:p>
    <w:p>
      <w:pPr>
        <w:numPr>
          <w:ilvl w:val="0"/>
          <w:numId w:val="9"/>
        </w:numPr>
      </w:pPr>
      <w:r>
        <w:rPr>
          <w:rFonts w:ascii="Times New Roman" w:hAnsi="Times New Roman"/>
        </w:rPr>
        <w:t>Citer la particularité de cette néphropathie</w:t>
      </w:r>
    </w:p>
    <w:p>
      <w:pPr/>
    </w:p>
    <w:p>
      <w:pPr>
        <w:pStyle w:val="Heading2"/>
      </w:pPr>
      <w:r>
        <w:rPr>
          <w:rFonts w:ascii="Times New Roman" w:hAnsi="Times New Roman"/>
        </w:rPr>
        <w:t>INTRODUCTION</w:t>
      </w:r>
    </w:p>
    <w:p>
      <w:pPr>
        <w:pStyle w:val="Heading3"/>
      </w:pPr>
      <w:r>
        <w:rPr>
          <w:rFonts w:ascii="Times New Roman" w:hAnsi="Times New Roman"/>
        </w:rPr>
        <w:t>DEFINITION</w:t>
      </w:r>
    </w:p>
    <w:p>
      <w:pPr>
        <w:numPr>
          <w:ilvl w:val="0"/>
          <w:numId w:val="10"/>
        </w:numPr>
      </w:pPr>
      <w:r>
        <w:rPr>
          <w:rFonts w:ascii="Times New Roman" w:hAnsi="Times New Roman"/>
        </w:rPr>
        <w:t xml:space="preserve">Glomérulonéphrite (GN) “non-proliférative” avec dépôt d’Immunoglobuline A sur le </w:t>
      </w:r>
      <w:r>
        <w:rPr>
          <w:rFonts w:ascii="Times New Roman" w:hAnsi="Times New Roman"/>
        </w:rPr>
        <w:t>mésangium</w:t>
      </w:r>
    </w:p>
    <w:p>
      <w:pPr>
        <w:pStyle w:val="Heading3"/>
      </w:pPr>
      <w:r>
        <w:rPr>
          <w:rFonts w:ascii="Times New Roman" w:hAnsi="Times New Roman"/>
        </w:rPr>
        <w:t>EPIDEMIOLOGIE</w:t>
      </w:r>
    </w:p>
    <w:p>
      <w:pPr>
        <w:numPr>
          <w:ilvl w:val="0"/>
          <w:numId w:val="11"/>
        </w:numPr>
      </w:pPr>
      <w:r>
        <w:rPr>
          <w:rFonts w:ascii="Times New Roman" w:hAnsi="Times New Roman"/>
        </w:rPr>
        <w:t>La plus fréquente des GN(France)</w:t>
      </w:r>
    </w:p>
    <w:p>
      <w:pPr>
        <w:numPr>
          <w:ilvl w:val="0"/>
          <w:numId w:val="11"/>
        </w:numPr>
      </w:pPr>
      <w:r>
        <w:rPr>
          <w:rFonts w:ascii="Times New Roman" w:hAnsi="Times New Roman"/>
        </w:rPr>
        <w:t>25% des néphropathies chez l’adulte</w:t>
      </w:r>
    </w:p>
    <w:p>
      <w:pPr>
        <w:numPr>
          <w:ilvl w:val="0"/>
          <w:numId w:val="11"/>
        </w:numPr>
      </w:pPr>
      <w:r>
        <w:rPr>
          <w:rFonts w:ascii="Times New Roman" w:hAnsi="Times New Roman"/>
        </w:rPr>
        <w:t>Incidence : 25/million et par an</w:t>
      </w:r>
    </w:p>
    <w:p>
      <w:pPr>
        <w:numPr>
          <w:ilvl w:val="0"/>
          <w:numId w:val="11"/>
        </w:numPr>
      </w:pPr>
      <w:r>
        <w:rPr>
          <w:rFonts w:ascii="Times New Roman" w:hAnsi="Times New Roman"/>
          <w:b/>
        </w:rPr>
        <w:t>Adulte jeune</w:t>
      </w:r>
    </w:p>
    <w:p>
      <w:pPr>
        <w:numPr>
          <w:ilvl w:val="0"/>
          <w:numId w:val="11"/>
        </w:numPr>
      </w:pPr>
      <w:r>
        <w:rPr>
          <w:rFonts w:ascii="Times New Roman" w:hAnsi="Times New Roman"/>
          <w:b/>
        </w:rPr>
        <w:t>Genre masculin</w:t>
      </w:r>
    </w:p>
    <w:p>
      <w:pPr/>
    </w:p>
    <w:p>
      <w:pPr>
        <w:pStyle w:val="Heading2"/>
      </w:pPr>
      <w:r>
        <w:rPr>
          <w:rFonts w:ascii="Times New Roman" w:hAnsi="Times New Roman"/>
        </w:rPr>
        <w:t>DIAGNOSTIC POSITIF</w:t>
      </w:r>
    </w:p>
    <w:p>
      <w:pPr>
        <w:pStyle w:val="Heading3"/>
        <w:numPr>
          <w:ilvl w:val="0"/>
          <w:numId w:val="83"/>
        </w:numPr>
      </w:pPr>
      <w:r>
        <w:rPr>
          <w:rFonts w:ascii="Times New Roman" w:hAnsi="Times New Roman"/>
        </w:rPr>
        <w:t>Clinique</w:t>
      </w:r>
      <w:r>
        <w:rPr>
          <w:rFonts w:ascii="Times New Roman" w:hAnsi="Times New Roman"/>
        </w:rPr>
        <w:t xml:space="preserve"> </w:t>
      </w:r>
    </w:p>
    <w:p>
      <w:pPr>
        <w:numPr>
          <w:ilvl w:val="1"/>
          <w:numId w:val="12"/>
        </w:numPr>
      </w:pPr>
      <w:r>
        <w:rPr>
          <w:rFonts w:ascii="Times New Roman" w:hAnsi="Times New Roman"/>
          <w:b/>
          <w:u w:val="single"/>
        </w:rPr>
        <w:t>Quelques heures ou jours avant : il y a eu une infection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>ORL : rhino-pharyngite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>Digestive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>Angine</w:t>
      </w:r>
    </w:p>
    <w:p>
      <w:pPr>
        <w:numPr>
          <w:ilvl w:val="1"/>
          <w:numId w:val="12"/>
        </w:numPr>
      </w:pPr>
      <w:r>
        <w:rPr>
          <w:rFonts w:ascii="Times New Roman" w:hAnsi="Times New Roman"/>
          <w:b/>
        </w:rPr>
        <w:t>Œdème</w:t>
      </w:r>
    </w:p>
    <w:p>
      <w:pPr>
        <w:numPr>
          <w:ilvl w:val="1"/>
          <w:numId w:val="12"/>
        </w:numPr>
      </w:pPr>
      <w:r>
        <w:rPr>
          <w:rFonts w:ascii="Times New Roman" w:hAnsi="Times New Roman"/>
          <w:b/>
        </w:rPr>
        <w:t xml:space="preserve">Hématurie </w:t>
      </w:r>
      <w:r>
        <w:rPr>
          <w:rFonts w:ascii="Times New Roman" w:hAnsi="Times New Roman"/>
          <w:b/>
          <w:u w:val="single"/>
        </w:rPr>
        <w:t>récidivante</w:t>
      </w:r>
    </w:p>
    <w:p>
      <w:pPr>
        <w:numPr>
          <w:ilvl w:val="1"/>
          <w:numId w:val="12"/>
        </w:numPr>
      </w:pPr>
      <w:r>
        <w:rPr>
          <w:rFonts w:ascii="Times New Roman" w:hAnsi="Times New Roman"/>
          <w:b/>
        </w:rPr>
        <w:t>HTA</w:t>
      </w:r>
    </w:p>
    <w:p>
      <w:pPr>
        <w:pStyle w:val="Heading3"/>
        <w:numPr>
          <w:ilvl w:val="0"/>
          <w:numId w:val="83"/>
        </w:numPr>
      </w:pPr>
      <w:r>
        <w:rPr>
          <w:rFonts w:ascii="Times New Roman" w:hAnsi="Times New Roman"/>
        </w:rPr>
        <w:t>Paraclinique</w:t>
      </w:r>
    </w:p>
    <w:p>
      <w:pPr>
        <w:numPr>
          <w:ilvl w:val="1"/>
          <w:numId w:val="12"/>
        </w:numPr>
      </w:pPr>
      <w:r>
        <w:rPr>
          <w:rFonts w:ascii="Times New Roman" w:hAnsi="Times New Roman"/>
        </w:rPr>
        <w:t>Hématurie</w:t>
      </w:r>
    </w:p>
    <w:p>
      <w:pPr>
        <w:numPr>
          <w:ilvl w:val="1"/>
          <w:numId w:val="12"/>
        </w:numPr>
      </w:pPr>
      <w:r>
        <w:rPr>
          <w:rFonts w:ascii="Times New Roman" w:hAnsi="Times New Roman"/>
        </w:rPr>
        <w:t>Cylindrurie</w:t>
      </w:r>
      <w:r>
        <w:rPr>
          <w:rFonts w:ascii="Times New Roman" w:hAnsi="Times New Roman"/>
        </w:rPr>
        <w:t xml:space="preserve"> hématique</w:t>
      </w:r>
    </w:p>
    <w:p>
      <w:pPr>
        <w:numPr>
          <w:ilvl w:val="1"/>
          <w:numId w:val="12"/>
        </w:numPr>
      </w:pPr>
      <w:r>
        <w:rPr>
          <w:rFonts w:ascii="Times New Roman" w:hAnsi="Times New Roman"/>
        </w:rPr>
        <w:t>Protéinurie</w:t>
      </w:r>
      <w:r>
        <w:rPr>
          <w:rFonts w:ascii="Times New Roman" w:hAnsi="Times New Roman"/>
          <w:i/>
        </w:rPr>
        <w:t xml:space="preserve"> (</w:t>
      </w:r>
      <w:r>
        <w:rPr>
          <w:rFonts w:ascii="Times New Roman" w:hAnsi="Times New Roman"/>
          <w:i/>
        </w:rPr>
        <w:t>exprimée en 24h)</w:t>
      </w:r>
    </w:p>
    <w:p>
      <w:pPr>
        <w:numPr>
          <w:ilvl w:val="1"/>
          <w:numId w:val="12"/>
        </w:numPr>
      </w:pPr>
      <w:r>
        <w:rPr>
          <w:rFonts w:ascii="Times New Roman" w:hAnsi="Times New Roman"/>
        </w:rPr>
        <w:t>Insuffisance rénale (possible)</w:t>
      </w:r>
    </w:p>
    <w:p>
      <w:pPr>
        <w:numPr>
          <w:ilvl w:val="1"/>
          <w:numId w:val="12"/>
        </w:numPr>
      </w:pPr>
      <w:r>
        <w:rPr>
          <w:rFonts w:ascii="Times New Roman" w:hAnsi="Times New Roman"/>
        </w:rPr>
        <w:t>IgA</w:t>
      </w:r>
      <w:r>
        <w:rPr>
          <w:rFonts w:ascii="Times New Roman" w:hAnsi="Times New Roman"/>
        </w:rPr>
        <w:t xml:space="preserve"> sérique élevée (rare)</w:t>
      </w:r>
    </w:p>
    <w:p>
      <w:pPr>
        <w:numPr>
          <w:ilvl w:val="1"/>
          <w:numId w:val="12"/>
        </w:numPr>
      </w:pPr>
      <w:r>
        <w:rPr>
          <w:rFonts w:ascii="Times New Roman" w:hAnsi="Times New Roman"/>
          <w:b/>
        </w:rPr>
        <w:t>ANATOMIE PATHOLOGIQUE(PBR)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>Hypercellularité</w:t>
      </w:r>
      <w:r>
        <w:rPr>
          <w:rFonts w:ascii="Times New Roman" w:hAnsi="Times New Roman"/>
        </w:rPr>
        <w:t xml:space="preserve"> mésangiale (</w:t>
      </w:r>
      <w:r>
        <w:rPr>
          <w:rFonts w:ascii="Times New Roman" w:hAnsi="Times New Roman"/>
          <w:i/>
        </w:rPr>
        <w:t>ngeza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kokoa</w:t>
      </w:r>
      <w:r>
        <w:rPr>
          <w:rFonts w:ascii="Times New Roman" w:hAnsi="Times New Roman"/>
          <w:i/>
        </w:rPr>
        <w:t xml:space="preserve"> na </w:t>
      </w:r>
      <w:r>
        <w:rPr>
          <w:rFonts w:ascii="Times New Roman" w:hAnsi="Times New Roman"/>
          <w:i/>
        </w:rPr>
        <w:t>betsaka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kokoa</w:t>
      </w:r>
      <w:r>
        <w:rPr>
          <w:rFonts w:ascii="Times New Roman" w:hAnsi="Times New Roman"/>
          <w:i/>
        </w:rPr>
        <w:t>)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 xml:space="preserve">Dépôt fibrinoïde </w:t>
      </w:r>
      <w:r>
        <w:rPr>
          <w:rFonts w:ascii="Times New Roman" w:hAnsi="Times New Roman"/>
        </w:rPr>
        <w:t>intercapillaire</w:t>
      </w:r>
      <w:r>
        <w:rPr>
          <w:rFonts w:ascii="Times New Roman" w:hAnsi="Times New Roman"/>
        </w:rPr>
        <w:t xml:space="preserve"> segmentaire et focale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>Dépôt mésangial d’</w:t>
      </w:r>
      <w:r>
        <w:rPr>
          <w:rFonts w:ascii="Times New Roman" w:hAnsi="Times New Roman"/>
        </w:rPr>
        <w:t>Ig</w:t>
      </w:r>
      <w:r>
        <w:rPr>
          <w:rFonts w:ascii="Times New Roman" w:hAnsi="Times New Roman"/>
        </w:rPr>
        <w:t xml:space="preserve"> A (</w:t>
      </w:r>
      <w:r>
        <w:rPr>
          <w:rFonts w:ascii="Times New Roman" w:hAnsi="Times New Roman"/>
        </w:rPr>
        <w:t>Immunofluorescence</w:t>
      </w:r>
      <w:r>
        <w:rPr>
          <w:rFonts w:ascii="Times New Roman" w:hAnsi="Times New Roman"/>
        </w:rPr>
        <w:t>)</w:t>
      </w:r>
    </w:p>
    <w:p>
      <w:pPr>
        <w:numPr>
          <w:ilvl w:val="2"/>
          <w:numId w:val="12"/>
        </w:numPr>
      </w:pPr>
      <w:r>
        <w:rPr>
          <w:rFonts w:ascii="Times New Roman" w:hAnsi="Times New Roman"/>
        </w:rPr>
        <w:t>Prolifération extra-capillaire(possible)</w:t>
      </w:r>
    </w:p>
    <w:p>
      <w:pPr/>
    </w:p>
    <w:p>
      <w:pPr>
        <w:pStyle w:val="Heading2"/>
      </w:pPr>
      <w:r>
        <w:rPr>
          <w:rFonts w:ascii="Times New Roman" w:hAnsi="Times New Roman"/>
        </w:rPr>
        <w:t>EVOLUTION</w:t>
      </w:r>
    </w:p>
    <w:p>
      <w:pPr>
        <w:numPr>
          <w:ilvl w:val="0"/>
          <w:numId w:val="13"/>
        </w:numPr>
      </w:pPr>
      <w:r>
        <w:rPr>
          <w:rFonts w:ascii="Times New Roman" w:hAnsi="Times New Roman"/>
        </w:rPr>
        <w:t>50% des patients seront en IRCT après 25 ans</w:t>
      </w:r>
    </w:p>
    <w:p>
      <w:pPr>
        <w:numPr>
          <w:ilvl w:val="0"/>
          <w:numId w:val="13"/>
        </w:numPr>
      </w:pPr>
      <w:r>
        <w:rPr>
          <w:rFonts w:ascii="Times New Roman" w:hAnsi="Times New Roman"/>
        </w:rPr>
        <w:t xml:space="preserve">Facteurs de mauvais pronostic : 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>Protéinurie néphrotique (</w:t>
      </w:r>
      <w:r>
        <w:rPr>
          <w:rFonts w:ascii="Times New Roman" w:hAnsi="Times New Roman"/>
          <w:i/>
        </w:rPr>
        <w:t>protéinurie massive)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>HTA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>Insuffisance rénale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>Genre masculin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 xml:space="preserve">Fibrose </w:t>
      </w:r>
      <w:r>
        <w:rPr>
          <w:rFonts w:ascii="Times New Roman" w:hAnsi="Times New Roman"/>
          <w:u w:val="single"/>
        </w:rPr>
        <w:t>interstitielle</w:t>
      </w:r>
    </w:p>
    <w:p>
      <w:pPr>
        <w:numPr>
          <w:ilvl w:val="1"/>
          <w:numId w:val="13"/>
        </w:numPr>
      </w:pPr>
      <w:r>
        <w:rPr>
          <w:rFonts w:ascii="Times New Roman" w:hAnsi="Times New Roman"/>
        </w:rPr>
        <w:t xml:space="preserve">Lésions </w:t>
      </w:r>
      <w:r>
        <w:rPr>
          <w:rFonts w:ascii="Times New Roman" w:hAnsi="Times New Roman"/>
          <w:u w:val="single"/>
        </w:rPr>
        <w:t>vasculaires</w:t>
      </w:r>
    </w:p>
    <w:p>
      <w:pPr>
        <w:numPr>
          <w:ilvl w:val="2"/>
          <w:numId w:val="13"/>
        </w:numPr>
      </w:pPr>
      <w:r>
        <w:rPr>
          <w:rFonts w:ascii="Times New Roman" w:hAnsi="Times New Roman"/>
          <w:i/>
        </w:rPr>
        <w:t>Tsy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mandeha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irery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ilay</w:t>
      </w:r>
      <w:r>
        <w:rPr>
          <w:rFonts w:ascii="Times New Roman" w:hAnsi="Times New Roman"/>
          <w:i/>
        </w:rPr>
        <w:t xml:space="preserve"> atteinte glomérulaire fa </w:t>
      </w:r>
      <w:r>
        <w:rPr>
          <w:rFonts w:ascii="Times New Roman" w:hAnsi="Times New Roman"/>
          <w:i/>
        </w:rPr>
        <w:t>manaraka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ny</w:t>
      </w:r>
      <w:r>
        <w:rPr>
          <w:rFonts w:ascii="Times New Roman" w:hAnsi="Times New Roman"/>
          <w:i/>
        </w:rPr>
        <w:t xml:space="preserve"> interstitielle </w:t>
      </w:r>
    </w:p>
    <w:p>
      <w:pPr/>
    </w:p>
    <w:p>
      <w:pPr>
        <w:pStyle w:val="Heading2"/>
      </w:pPr>
      <w:r>
        <w:rPr>
          <w:rFonts w:ascii="Times New Roman" w:hAnsi="Times New Roman"/>
        </w:rPr>
        <w:t>DIAGNOSTIC ETIOLOGIQUE</w:t>
      </w:r>
    </w:p>
    <w:p>
      <w:pPr>
        <w:numPr>
          <w:ilvl w:val="0"/>
          <w:numId w:val="14"/>
        </w:numPr>
      </w:pPr>
      <w:r>
        <w:rPr>
          <w:rFonts w:ascii="Times New Roman" w:hAnsi="Times New Roman"/>
        </w:rPr>
        <w:t xml:space="preserve">Primitive : </w:t>
      </w:r>
      <w:r>
        <w:rPr>
          <w:rFonts w:ascii="Times New Roman" w:hAnsi="Times New Roman"/>
          <w:b/>
        </w:rPr>
        <w:t xml:space="preserve">maladie de BERGER </w:t>
      </w:r>
    </w:p>
    <w:p>
      <w:pPr>
        <w:numPr>
          <w:ilvl w:val="0"/>
          <w:numId w:val="14"/>
        </w:numPr>
      </w:pPr>
      <w:r>
        <w:rPr>
          <w:rFonts w:ascii="Times New Roman" w:hAnsi="Times New Roman"/>
        </w:rPr>
        <w:t>Associée à :</w:t>
      </w:r>
    </w:p>
    <w:p>
      <w:pPr>
        <w:numPr>
          <w:ilvl w:val="1"/>
          <w:numId w:val="14"/>
        </w:numPr>
      </w:pPr>
      <w:r>
        <w:rPr>
          <w:rFonts w:ascii="Times New Roman" w:hAnsi="Times New Roman"/>
          <w:u w:val="single"/>
        </w:rPr>
        <w:t>Purpura rhumatoïde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>Cirrhose alcoolique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>Maladie chronique du foie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>VIH, VHB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 xml:space="preserve">Maladie </w:t>
      </w:r>
      <w:r>
        <w:rPr>
          <w:rFonts w:ascii="Times New Roman" w:hAnsi="Times New Roman"/>
        </w:rPr>
        <w:t>cœliaque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>Colites inflammatoires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>Spondylarthrite ankylosante</w:t>
      </w:r>
    </w:p>
    <w:p>
      <w:pPr>
        <w:numPr>
          <w:ilvl w:val="1"/>
          <w:numId w:val="14"/>
        </w:numPr>
      </w:pPr>
      <w:r>
        <w:rPr>
          <w:rFonts w:ascii="Times New Roman" w:hAnsi="Times New Roman"/>
        </w:rPr>
        <w:t xml:space="preserve">Dermatite herpétiforme </w:t>
      </w:r>
    </w:p>
    <w:p>
      <w:pPr/>
    </w:p>
    <w:p>
      <w:pPr>
        <w:pStyle w:val="Heading2"/>
      </w:pPr>
      <w:r>
        <w:rPr>
          <w:rFonts w:ascii="Times New Roman" w:hAnsi="Times New Roman"/>
        </w:rPr>
        <w:t>TRAITEMENT</w:t>
      </w:r>
    </w:p>
    <w:p>
      <w:pPr>
        <w:numPr>
          <w:ilvl w:val="0"/>
          <w:numId w:val="15"/>
        </w:numPr>
      </w:pPr>
      <w:r>
        <w:rPr>
          <w:rFonts w:ascii="Times New Roman" w:hAnsi="Times New Roman"/>
        </w:rPr>
        <w:t xml:space="preserve">Restriction sodée si </w:t>
      </w:r>
      <w:r>
        <w:rPr>
          <w:rFonts w:ascii="Times New Roman" w:hAnsi="Times New Roman"/>
        </w:rPr>
        <w:t>œdème</w:t>
      </w:r>
    </w:p>
    <w:p>
      <w:pPr>
        <w:numPr>
          <w:ilvl w:val="0"/>
          <w:numId w:val="15"/>
        </w:numPr>
      </w:pPr>
      <w:r>
        <w:rPr>
          <w:rFonts w:ascii="Times New Roman" w:hAnsi="Times New Roman"/>
        </w:rPr>
        <w:t>Diurétique</w:t>
      </w:r>
    </w:p>
    <w:p>
      <w:pPr>
        <w:numPr>
          <w:ilvl w:val="0"/>
          <w:numId w:val="15"/>
        </w:numPr>
      </w:pPr>
      <w:r>
        <w:rPr>
          <w:rFonts w:ascii="Times New Roman" w:hAnsi="Times New Roman"/>
        </w:rPr>
        <w:t>Amygdalectomie</w:t>
      </w:r>
    </w:p>
    <w:p>
      <w:pPr>
        <w:numPr>
          <w:ilvl w:val="0"/>
          <w:numId w:val="15"/>
        </w:numPr>
      </w:pPr>
      <w:r>
        <w:rPr>
          <w:rFonts w:ascii="Times New Roman" w:hAnsi="Times New Roman"/>
        </w:rPr>
        <w:t>Sans bénéfice</w:t>
      </w:r>
    </w:p>
    <w:p>
      <w:pPr>
        <w:numPr>
          <w:ilvl w:val="0"/>
          <w:numId w:val="15"/>
        </w:numPr>
      </w:pPr>
      <w:r>
        <w:rPr>
          <w:rFonts w:ascii="Times New Roman" w:hAnsi="Times New Roman"/>
        </w:rPr>
        <w:t xml:space="preserve">Contrôle TA </w:t>
      </w:r>
      <w:r>
        <w:rPr>
          <w:rFonts w:ascii="Times New Roman" w:hAnsi="Times New Roman"/>
        </w:rPr>
      </w:r>
      <w:r>
        <w:rPr>
          <w:rFonts w:ascii="Times New Roman" w:hAnsi="Times New Roman"/>
        </w:rPr>
        <w:t>130/80mmHg</w:t>
      </w:r>
    </w:p>
    <w:p>
      <w:pPr>
        <w:numPr>
          <w:ilvl w:val="0"/>
          <w:numId w:val="15"/>
        </w:numPr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Syndrome</w:t>
      </w:r>
      <w:r>
        <w:rPr>
          <w:rFonts w:ascii="Times New Roman" w:hAnsi="Times New Roman"/>
        </w:rPr>
        <w:t xml:space="preserve"> néphrotique</w:t>
      </w:r>
    </w:p>
    <w:p>
      <w:pPr>
        <w:numPr>
          <w:ilvl w:val="0"/>
          <w:numId w:val="15"/>
        </w:numPr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Syndrome</w:t>
      </w:r>
      <w:r>
        <w:rPr>
          <w:rFonts w:ascii="Times New Roman" w:hAnsi="Times New Roman"/>
        </w:rPr>
        <w:t xml:space="preserve"> de GNRP (</w:t>
      </w:r>
      <w:r>
        <w:rPr>
          <w:rFonts w:ascii="Times New Roman" w:hAnsi="Times New Roman"/>
        </w:rPr>
        <w:t>ctc</w:t>
      </w:r>
      <w:r>
        <w:rPr>
          <w:rFonts w:ascii="Times New Roman" w:hAnsi="Times New Roman"/>
        </w:rPr>
        <w:t xml:space="preserve"> en bolus</w:t>
      </w:r>
    </w:p>
    <w:p>
      <w:pPr>
        <w:numPr>
          <w:ilvl w:val="0"/>
          <w:numId w:val="15"/>
        </w:numPr>
      </w:pPr>
      <w:r>
        <w:rPr>
          <w:rFonts w:ascii="Times New Roman" w:hAnsi="Times New Roman"/>
        </w:rPr>
        <w:t>IEC : anti-</w:t>
      </w:r>
      <w:r>
        <w:rPr>
          <w:rFonts w:ascii="Times New Roman" w:hAnsi="Times New Roman"/>
        </w:rPr>
        <w:t>protéinurique</w:t>
      </w:r>
      <w:r>
        <w:rPr>
          <w:rFonts w:ascii="Times New Roman" w:hAnsi="Times New Roman"/>
        </w:rPr>
        <w:t xml:space="preserve"> </w:t>
      </w:r>
    </w:p>
    <w:p>
      <w:pPr/>
    </w:p>
    <w:p>
      <w:pPr>
        <w:pStyle w:val="Heading2"/>
      </w:pPr>
      <w:r>
        <w:rPr>
          <w:rFonts w:ascii="Times New Roman" w:hAnsi="Times New Roman"/>
        </w:rPr>
      </w:r>
      <w:r>
        <w:rPr>
          <w:rFonts w:ascii="Times New Roman" w:hAnsi="Times New Roman"/>
        </w:rPr>
        <w:t>Syndrome</w:t>
      </w:r>
      <w:r>
        <w:rPr>
          <w:rFonts w:ascii="Times New Roman" w:hAnsi="Times New Roman"/>
        </w:rPr>
        <w:t xml:space="preserve"> néphrotique </w:t>
      </w:r>
    </w:p>
    <w:p>
      <w:pPr>
        <w:numPr>
          <w:ilvl w:val="1"/>
          <w:numId w:val="16"/>
        </w:numPr>
      </w:pPr>
      <w:r>
        <w:rPr>
          <w:rFonts w:ascii="Times New Roman" w:hAnsi="Times New Roman"/>
        </w:rPr>
        <w:t>Néphrose (à lésion glomérulaire minime)</w:t>
      </w:r>
    </w:p>
    <w:p>
      <w:pPr>
        <w:numPr>
          <w:ilvl w:val="1"/>
          <w:numId w:val="16"/>
        </w:numPr>
      </w:pPr>
      <w:r>
        <w:rPr>
          <w:rFonts w:ascii="Times New Roman" w:hAnsi="Times New Roman"/>
        </w:rPr>
        <w:t>HSF</w:t>
      </w:r>
    </w:p>
    <w:p>
      <w:pPr>
        <w:numPr>
          <w:ilvl w:val="0"/>
          <w:numId w:val="16"/>
        </w:numPr>
      </w:pPr>
      <w:r>
        <w:rPr>
          <w:rFonts w:ascii="Times New Roman" w:hAnsi="Times New Roman"/>
        </w:rPr>
        <w:t>Syndrome néphritique : GNA</w:t>
      </w:r>
    </w:p>
    <w:p>
      <w:pPr>
        <w:numPr>
          <w:ilvl w:val="0"/>
          <w:numId w:val="16"/>
        </w:numPr>
      </w:pPr>
      <w:r>
        <w:rPr>
          <w:rFonts w:ascii="Times New Roman" w:hAnsi="Times New Roman"/>
        </w:rPr>
        <w:t xml:space="preserve">Hématurie : </w:t>
      </w:r>
      <w:r>
        <w:rPr>
          <w:rFonts w:ascii="Times New Roman" w:hAnsi="Times New Roman"/>
        </w:rPr>
        <w:t>IgA</w:t>
      </w:r>
      <w:r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Berger)</w:t>
      </w:r>
    </w:p>
    <w:p>
      <w:pPr>
        <w:numPr>
          <w:ilvl w:val="0"/>
          <w:numId w:val="16"/>
        </w:numPr>
      </w:pPr>
      <w:r>
        <w:rPr>
          <w:rFonts w:ascii="Times New Roman" w:hAnsi="Times New Roman"/>
        </w:rPr>
        <w:t xml:space="preserve">GNRP = </w:t>
      </w:r>
      <w:r>
        <w:rPr>
          <w:rFonts w:ascii="Times New Roman" w:hAnsi="Times New Roman"/>
        </w:rPr>
        <w:t>TDD :</w:t>
      </w:r>
      <w:r>
        <w:rPr>
          <w:rFonts w:ascii="Times New Roman" w:hAnsi="Times New Roman"/>
        </w:rPr>
        <w:t xml:space="preserve"> syndrome de </w:t>
      </w:r>
      <w:r>
        <w:rPr>
          <w:rFonts w:ascii="Times New Roman" w:hAnsi="Times New Roman"/>
        </w:rPr>
        <w:t>GoodPasture</w:t>
      </w:r>
    </w:p>
    <w:p>
      <w:pPr>
        <w:numPr>
          <w:ilvl w:val="0"/>
          <w:numId w:val="16"/>
        </w:numPr>
      </w:pPr>
      <w:r>
        <w:rPr>
          <w:rFonts w:ascii="Times New Roman" w:hAnsi="Times New Roman"/>
        </w:rPr>
        <w:t>MRC</w:t>
      </w:r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