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MALADIE DES EMBOLES DE CHOLESTEROL</w:t>
      </w:r>
    </w:p>
    <w:p>
      <w:pPr>
        <w:pStyle w:val="Heading2"/>
      </w:pPr>
      <w:r>
        <w:rPr/>
        <w:t>INTRODUCTION</w:t>
      </w:r>
    </w:p>
    <w:p>
      <w:pPr>
        <w:numPr>
          <w:ilvl w:val="0"/>
          <w:numId w:val="25"/>
        </w:numPr>
      </w:pPr>
      <w:r>
        <w:rPr/>
        <w:t xml:space="preserve">Définition : maladie </w:t>
      </w:r>
      <w:r>
        <w:rPr/>
        <w:t>athéroembolique</w:t>
      </w:r>
      <w:r>
        <w:rPr/>
        <w:t xml:space="preserve"> systémique (= multiples emboles à partir de plaques athéromateux)</w:t>
      </w:r>
    </w:p>
    <w:p>
      <w:pPr>
        <w:numPr>
          <w:ilvl w:val="0"/>
          <w:numId w:val="25"/>
        </w:numPr>
      </w:pPr>
      <w:r>
        <w:rPr/>
        <w:t>Intérêts :</w:t>
      </w:r>
    </w:p>
    <w:p>
      <w:pPr>
        <w:numPr>
          <w:ilvl w:val="1"/>
          <w:numId w:val="25"/>
        </w:numPr>
      </w:pPr>
      <w:r>
        <w:rPr/>
        <w:t>Pronostic sombre : IRCT, mortalité élevée</w:t>
      </w:r>
    </w:p>
    <w:p>
      <w:pPr>
        <w:numPr>
          <w:ilvl w:val="1"/>
          <w:numId w:val="25"/>
        </w:numPr>
      </w:pPr>
      <w:r>
        <w:rPr/>
        <w:t>Présentation clinique hétérogène</w:t>
      </w:r>
    </w:p>
    <w:p>
      <w:pPr>
        <w:pStyle w:val="Heading3"/>
      </w:pPr>
      <w:r>
        <w:rPr/>
        <w:t>PHYSIOPATHOLOGIE</w:t>
      </w:r>
    </w:p>
    <w:p>
      <w:pPr>
        <w:numPr>
          <w:ilvl w:val="0"/>
          <w:numId w:val="26"/>
        </w:numPr>
      </w:pPr>
      <w:r>
        <w:rPr>
          <w:b/>
        </w:rPr>
        <w:t xml:space="preserve">Plaques instables : </w:t>
      </w:r>
      <w:r>
        <w:rPr/>
        <w:t>des gros troncs artériels -&gt; ulcération + fragmentation</w:t>
      </w:r>
    </w:p>
    <w:p>
      <w:pPr>
        <w:numPr>
          <w:ilvl w:val="0"/>
          <w:numId w:val="26"/>
        </w:numPr>
      </w:pPr>
      <w:r>
        <w:rPr/>
        <w:t>Occlusion artériolaire -&gt; nécro-inflammation tissulaire + réaction inflammatoire systémique</w:t>
      </w:r>
    </w:p>
    <w:p>
      <w:pPr>
        <w:numPr>
          <w:ilvl w:val="0"/>
          <w:numId w:val="26"/>
        </w:numPr>
      </w:pPr>
      <w:r>
        <w:rPr/>
        <w:t>Rein : ischémie -&gt; stimulation SRAA</w:t>
      </w:r>
    </w:p>
    <w:p>
      <w:pPr>
        <w:pStyle w:val="Heading2"/>
      </w:pPr>
      <w:r>
        <w:rPr/>
        <w:t>SIGNES CLINIQUES</w:t>
      </w:r>
    </w:p>
    <w:p>
      <w:pPr>
        <w:numPr>
          <w:ilvl w:val="0"/>
          <w:numId w:val="27"/>
        </w:numPr>
      </w:pPr>
      <w:r>
        <w:rPr>
          <w:b/>
        </w:rPr>
        <w:t xml:space="preserve">Terrain : </w:t>
      </w:r>
      <w:r>
        <w:rPr/>
        <w:t>homme, âge, tabac, diabète, obésité, dyslipidémie, maladies cardio-vasculaires</w:t>
      </w:r>
    </w:p>
    <w:p>
      <w:pPr>
        <w:numPr>
          <w:ilvl w:val="0"/>
          <w:numId w:val="27"/>
        </w:numPr>
      </w:pPr>
      <w:r>
        <w:rPr/>
        <w:t xml:space="preserve">Facteur déclenchant : angiographie invasive, chirurgie cardio-vasculaire, </w:t>
      </w:r>
      <w:r>
        <w:rPr/>
        <w:t>anti-thrombotique</w:t>
      </w:r>
      <w:r>
        <w:rPr/>
        <w:t>/anti-coagulant</w:t>
      </w:r>
      <w:r>
        <w:rPr/>
        <w:br/>
        <w:t>8 jours à 8 semaines avant</w:t>
      </w:r>
    </w:p>
    <w:p>
      <w:pPr>
        <w:numPr>
          <w:ilvl w:val="0"/>
          <w:numId w:val="27"/>
        </w:numPr>
      </w:pPr>
      <w:r>
        <w:rPr>
          <w:b/>
        </w:rPr>
        <w:t>Cutanés (30 - 90%)</w:t>
      </w:r>
    </w:p>
    <w:p>
      <w:pPr>
        <w:numPr>
          <w:ilvl w:val="1"/>
          <w:numId w:val="27"/>
        </w:numPr>
      </w:pPr>
      <w:r>
        <w:rPr/>
        <w:t>Livedo réticulaire</w:t>
      </w:r>
    </w:p>
    <w:p>
      <w:pPr>
        <w:numPr>
          <w:ilvl w:val="1"/>
          <w:numId w:val="27"/>
        </w:numPr>
      </w:pPr>
      <w:r>
        <w:rPr/>
        <w:t>Orteils pourpres froids douloureux</w:t>
      </w:r>
    </w:p>
    <w:p>
      <w:pPr>
        <w:numPr>
          <w:ilvl w:val="1"/>
          <w:numId w:val="27"/>
        </w:numPr>
      </w:pPr>
      <w:r>
        <w:rPr/>
        <w:t>Purpura nécrotique / ulcères chroniques</w:t>
      </w:r>
    </w:p>
    <w:p>
      <w:pPr>
        <w:numPr>
          <w:ilvl w:val="0"/>
          <w:numId w:val="27"/>
        </w:numPr>
      </w:pPr>
      <w:r>
        <w:rPr>
          <w:b/>
        </w:rPr>
        <w:t>Rénaux (50-75%)</w:t>
      </w:r>
    </w:p>
    <w:p>
      <w:pPr>
        <w:numPr>
          <w:ilvl w:val="1"/>
          <w:numId w:val="27"/>
        </w:numPr>
      </w:pPr>
      <w:r>
        <w:rPr/>
        <w:t>IR rapidement ou lentement progressive</w:t>
      </w:r>
    </w:p>
    <w:p>
      <w:pPr>
        <w:numPr>
          <w:ilvl w:val="1"/>
          <w:numId w:val="27"/>
        </w:numPr>
      </w:pPr>
      <w:r>
        <w:rPr/>
        <w:t>HTA sévère</w:t>
      </w:r>
    </w:p>
    <w:p>
      <w:pPr>
        <w:numPr>
          <w:ilvl w:val="0"/>
          <w:numId w:val="27"/>
        </w:numPr>
      </w:pPr>
      <w:r>
        <w:rPr>
          <w:b/>
        </w:rPr>
        <w:t>Digestifs (10-40%)</w:t>
      </w:r>
    </w:p>
    <w:p>
      <w:pPr>
        <w:numPr>
          <w:ilvl w:val="1"/>
          <w:numId w:val="27"/>
        </w:numPr>
      </w:pPr>
      <w:r>
        <w:rPr/>
        <w:t>Douleur abdominale, hémorragie digestive, ischémie mésentérique</w:t>
      </w:r>
    </w:p>
    <w:p>
      <w:pPr>
        <w:numPr>
          <w:ilvl w:val="1"/>
          <w:numId w:val="27"/>
        </w:numPr>
      </w:pPr>
      <w:r>
        <w:rPr/>
        <w:t>Pronostic péjoratif</w:t>
      </w:r>
    </w:p>
    <w:p>
      <w:pPr>
        <w:numPr>
          <w:ilvl w:val="0"/>
          <w:numId w:val="27"/>
        </w:numPr>
      </w:pPr>
      <w:r>
        <w:rPr>
          <w:b/>
        </w:rPr>
        <w:t xml:space="preserve">Neurologique : </w:t>
      </w:r>
      <w:r>
        <w:rPr/>
        <w:t>AVC ischémique</w:t>
      </w:r>
    </w:p>
    <w:p>
      <w:pPr>
        <w:numPr>
          <w:ilvl w:val="0"/>
          <w:numId w:val="27"/>
        </w:numPr>
      </w:pPr>
      <w:r>
        <w:rPr>
          <w:b/>
        </w:rPr>
        <w:t xml:space="preserve">Oculaire : </w:t>
      </w:r>
      <w:r>
        <w:rPr/>
        <w:t>emboles rétiniens jaune orangé réfringents (spécifiques)</w:t>
      </w:r>
    </w:p>
    <w:p>
      <w:pPr>
        <w:pStyle w:val="Heading2"/>
      </w:pPr>
      <w:r>
        <w:rPr/>
        <w:t>DIAGNOSTICS</w:t>
      </w:r>
    </w:p>
    <w:p>
      <w:pPr>
        <w:numPr>
          <w:ilvl w:val="0"/>
          <w:numId w:val="28"/>
        </w:numPr>
      </w:pPr>
      <w:r>
        <w:rPr>
          <w:b/>
        </w:rPr>
        <w:t xml:space="preserve">Positif : </w:t>
      </w:r>
      <w:r>
        <w:rPr/>
        <w:t>triade</w:t>
      </w:r>
    </w:p>
    <w:p>
      <w:pPr>
        <w:numPr>
          <w:ilvl w:val="1"/>
          <w:numId w:val="28"/>
        </w:numPr>
      </w:pPr>
      <w:r>
        <w:rPr/>
        <w:t>Exposition à un facteur déclenchant</w:t>
      </w:r>
    </w:p>
    <w:p>
      <w:pPr>
        <w:numPr>
          <w:ilvl w:val="1"/>
          <w:numId w:val="28"/>
        </w:numPr>
      </w:pPr>
      <w:r>
        <w:rPr/>
        <w:t>IRA</w:t>
      </w:r>
    </w:p>
    <w:p>
      <w:pPr>
        <w:numPr>
          <w:ilvl w:val="1"/>
          <w:numId w:val="28"/>
        </w:numPr>
      </w:pPr>
      <w:r>
        <w:rPr/>
        <w:t>Signes cutanés au F.O</w:t>
      </w:r>
    </w:p>
    <w:p>
      <w:pPr>
        <w:numPr>
          <w:ilvl w:val="0"/>
          <w:numId w:val="28"/>
        </w:numPr>
      </w:pPr>
      <w:r>
        <w:rPr>
          <w:b/>
        </w:rPr>
        <w:t>Différentiels</w:t>
      </w:r>
    </w:p>
    <w:p>
      <w:pPr>
        <w:numPr>
          <w:ilvl w:val="1"/>
          <w:numId w:val="28"/>
        </w:numPr>
      </w:pPr>
      <w:r>
        <w:rPr/>
        <w:t>CP emboligène</w:t>
      </w:r>
    </w:p>
    <w:p>
      <w:pPr>
        <w:numPr>
          <w:ilvl w:val="1"/>
          <w:numId w:val="28"/>
        </w:numPr>
      </w:pPr>
      <w:r>
        <w:rPr/>
        <w:t>Endocardite infectieuse</w:t>
      </w:r>
    </w:p>
    <w:p>
      <w:pPr>
        <w:numPr>
          <w:ilvl w:val="1"/>
          <w:numId w:val="28"/>
        </w:numPr>
      </w:pPr>
      <w:r>
        <w:rPr/>
        <w:t>NTA post-PCI : délai de survenu : 48h (</w:t>
      </w:r>
      <w:r>
        <w:rPr>
          <w:i/>
        </w:rPr>
        <w:t>nécrose tubulaire aiguë post-produit de contraste iodé)</w:t>
      </w:r>
    </w:p>
    <w:p>
      <w:pPr>
        <w:pStyle w:val="Heading2"/>
      </w:pPr>
      <w:r>
        <w:rPr/>
        <w:t>TRAITEMENT</w:t>
      </w:r>
    </w:p>
    <w:p>
      <w:pPr>
        <w:numPr>
          <w:ilvl w:val="0"/>
          <w:numId w:val="29"/>
        </w:numPr>
      </w:pPr>
      <w:r>
        <w:rPr>
          <w:b/>
        </w:rPr>
        <w:t xml:space="preserve">Symptomatique : </w:t>
      </w:r>
      <w:r>
        <w:rPr/>
        <w:t>anti-HTA, hémodialyse</w:t>
      </w:r>
    </w:p>
    <w:p>
      <w:pPr>
        <w:numPr>
          <w:ilvl w:val="0"/>
          <w:numId w:val="29"/>
        </w:numPr>
      </w:pPr>
      <w:r>
        <w:rPr>
          <w:b/>
        </w:rPr>
        <w:t xml:space="preserve">Statine </w:t>
      </w:r>
      <w:r>
        <w:rPr/>
        <w:t xml:space="preserve">à forte dose </w:t>
      </w:r>
      <w:r>
        <w:rPr>
          <w:i/>
        </w:rPr>
        <w:t>(stabilise la plaque)</w:t>
      </w:r>
    </w:p>
    <w:p>
      <w:pPr>
        <w:numPr>
          <w:ilvl w:val="0"/>
          <w:numId w:val="29"/>
        </w:numPr>
      </w:pPr>
      <w:r>
        <w:rPr/>
        <w:t>+/- corticothérapie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