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NEPHROPATHIE DIABETIQUE (ND)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numPr>
          <w:ilvl w:val="0"/>
          <w:numId w:val="54"/>
        </w:numPr>
      </w:pPr>
      <w:r>
        <w:rPr>
          <w:rFonts w:ascii="Times New Roman" w:hAnsi="Times New Roman"/>
        </w:rPr>
        <w:t xml:space="preserve">Néphropathie </w:t>
      </w:r>
      <w:r>
        <w:rPr>
          <w:rFonts w:ascii="Times New Roman" w:hAnsi="Times New Roman"/>
          <w:b/>
        </w:rPr>
        <w:t>principalement glomérulaire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 xml:space="preserve">non proliférative </w:t>
      </w:r>
      <w:r>
        <w:rPr>
          <w:rFonts w:ascii="Times New Roman" w:hAnsi="Times New Roman"/>
        </w:rPr>
        <w:t xml:space="preserve">s’intégrant dans le cadre des </w:t>
      </w:r>
      <w:r>
        <w:rPr>
          <w:rFonts w:ascii="Times New Roman" w:hAnsi="Times New Roman"/>
          <w:u w:val="single"/>
        </w:rPr>
        <w:t>complications micro-</w:t>
      </w:r>
      <w:r>
        <w:rPr>
          <w:rFonts w:ascii="Times New Roman" w:hAnsi="Times New Roman"/>
          <w:u w:val="single"/>
        </w:rPr>
        <w:t>angiopathiques</w:t>
      </w:r>
      <w:r>
        <w:rPr>
          <w:rFonts w:ascii="Times New Roman" w:hAnsi="Times New Roman"/>
          <w:u w:val="single"/>
        </w:rPr>
        <w:t xml:space="preserve"> du diabète</w:t>
      </w:r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u w:val="single"/>
        </w:rPr>
        <w:t>Pour le diabète de type 1 :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Délai entre la présence d’une micro-albuminurie et survenue de l’insuffisance rénale chronique </w:t>
      </w:r>
      <w:r>
        <w:rPr>
          <w:rFonts w:ascii="Times New Roman" w:hAnsi="Times New Roman"/>
        </w:rPr>
        <w:t>terminale (</w:t>
      </w:r>
      <w:r>
        <w:rPr>
          <w:rFonts w:ascii="Times New Roman" w:hAnsi="Times New Roman"/>
        </w:rPr>
        <w:t>IRCT) : 10 à 15 ans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IRCT : en moyenne 25 ans après le diagnostic du diabète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u w:val="single"/>
        </w:rPr>
        <w:t xml:space="preserve">Pour le diabète de type </w:t>
      </w:r>
      <w:r>
        <w:rPr>
          <w:rFonts w:ascii="Times New Roman" w:hAnsi="Times New Roman"/>
          <w:u w:val="single"/>
        </w:rPr>
        <w:t>2 :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IRCT : En moyenne 10 ans après le diagnostic du diabète (par retard de découverte du diabète qui évolue silencieusement)</w:t>
      </w:r>
    </w:p>
    <w:p>
      <w:pPr>
        <w:numPr>
          <w:ilvl w:val="1"/>
          <w:numId w:val="55"/>
        </w:numPr>
      </w:pPr>
      <w:r>
        <w:rPr>
          <w:rFonts w:ascii="Times New Roman" w:hAnsi="Times New Roman"/>
          <w:i/>
        </w:rPr>
        <w:t xml:space="preserve">NFS CRP VSH </w:t>
      </w:r>
      <w:r>
        <w:rPr>
          <w:rFonts w:ascii="Times New Roman" w:hAnsi="Times New Roman"/>
          <w:i/>
        </w:rPr>
        <w:t>glyc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transa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créat</w:t>
      </w:r>
      <w:r>
        <w:rPr>
          <w:rFonts w:ascii="Times New Roman" w:hAnsi="Times New Roman"/>
          <w:i/>
        </w:rPr>
        <w:t xml:space="preserve"> B.U: bilan de débrouillage + </w:t>
      </w:r>
      <w:r>
        <w:rPr>
          <w:rFonts w:ascii="Times New Roman" w:hAnsi="Times New Roman"/>
          <w:i/>
        </w:rPr>
        <w:t>magnésémie</w:t>
      </w:r>
      <w:r>
        <w:rPr>
          <w:rFonts w:ascii="Times New Roman" w:hAnsi="Times New Roman"/>
          <w:i/>
        </w:rPr>
        <w:t xml:space="preserve"> calcémie EPP (bilan de fatigue)</w:t>
      </w:r>
    </w:p>
    <w:p>
      <w:pPr/>
    </w:p>
    <w:p>
      <w:pPr>
        <w:pStyle w:val="Heading3"/>
      </w:pPr>
      <w:r>
        <w:rPr>
          <w:rFonts w:ascii="Times New Roman" w:hAnsi="Times New Roman"/>
        </w:rPr>
        <w:t>FACTEURS DE RISQUE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u w:val="single"/>
        </w:rPr>
        <w:t>Facteurs métaboliques :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Mauvais contrôle glycémique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u w:val="single"/>
        </w:rPr>
        <w:t>Environnement :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Le tabac est démontré néfaste : </w:t>
      </w:r>
      <w:r>
        <w:rPr>
          <w:rFonts w:ascii="Times New Roman" w:hAnsi="Times New Roman"/>
          <w:i/>
        </w:rPr>
        <w:t>accélère la dégradation rénale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u w:val="single"/>
        </w:rPr>
        <w:t>Facteurs génétiques :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La présence d’allèle D était liée à un plus grand risque de ND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Le niveau plasmatique </w:t>
      </w:r>
      <w:r>
        <w:rPr>
          <w:rFonts w:ascii="Times New Roman" w:hAnsi="Times New Roman"/>
          <w:u w:val="single"/>
        </w:rPr>
        <w:t>bas</w:t>
      </w:r>
      <w:r>
        <w:rPr>
          <w:rFonts w:ascii="Times New Roman" w:hAnsi="Times New Roman"/>
        </w:rPr>
        <w:t xml:space="preserve"> de l’Enzyme de conversion de </w:t>
      </w:r>
      <w:r>
        <w:rPr>
          <w:rFonts w:ascii="Times New Roman" w:hAnsi="Times New Roman"/>
        </w:rPr>
        <w:t>l’angiotensine (</w:t>
      </w:r>
      <w:r>
        <w:rPr>
          <w:rFonts w:ascii="Times New Roman" w:hAnsi="Times New Roman"/>
        </w:rPr>
        <w:t>ACE) aurait un moindre risque d’avoir la ND</w:t>
      </w:r>
    </w:p>
    <w:p>
      <w:pPr/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b/>
          <w:u w:val="single"/>
        </w:rPr>
        <w:t>L’hyperfiltration glomérulaire</w:t>
      </w:r>
      <w:r>
        <w:rPr>
          <w:rFonts w:ascii="Times New Roman" w:hAnsi="Times New Roman"/>
        </w:rPr>
        <w:t xml:space="preserve"> est comme une “congestion glomérulaire” due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À l’augmentation de la pression artérielle systémique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Hyperfiltration</w:t>
      </w:r>
      <w:r>
        <w:rPr>
          <w:rFonts w:ascii="Times New Roman" w:hAnsi="Times New Roman"/>
          <w:i/>
        </w:rPr>
        <w:t xml:space="preserve"> : les produits de filtration primitive s’accumulent dans le </w:t>
      </w:r>
      <w:r>
        <w:rPr>
          <w:rFonts w:ascii="Times New Roman" w:hAnsi="Times New Roman"/>
          <w:i/>
        </w:rPr>
        <w:t>mésangium</w:t>
      </w:r>
      <w:r>
        <w:rPr>
          <w:rFonts w:ascii="Times New Roman" w:hAnsi="Times New Roman"/>
          <w:i/>
        </w:rPr>
        <w:t xml:space="preserve"> et la chambre urinaire)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 xml:space="preserve">Aux modifications de la microcirculation </w:t>
      </w:r>
      <w:r>
        <w:rPr>
          <w:rFonts w:ascii="Times New Roman" w:hAnsi="Times New Roman"/>
        </w:rPr>
        <w:t>intrarénale</w:t>
      </w:r>
      <w:r>
        <w:rPr>
          <w:rFonts w:ascii="Times New Roman" w:hAnsi="Times New Roman"/>
        </w:rPr>
        <w:t xml:space="preserve"> avec augmentation des débits capillaires et de la pression de filtration intra-glomérulaire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Hypertrophie glomérulaire qui augmenterait la surface de filtration</w:t>
      </w:r>
    </w:p>
    <w:p>
      <w:pPr/>
    </w:p>
    <w:p>
      <w:pPr>
        <w:numPr>
          <w:ilvl w:val="0"/>
          <w:numId w:val="57"/>
        </w:numPr>
      </w:pPr>
      <w:r>
        <w:rPr>
          <w:rFonts w:ascii="Times New Roman" w:hAnsi="Times New Roman"/>
          <w:b/>
          <w:u w:val="single"/>
        </w:rPr>
        <w:t>Albuminurie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due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>:</w:t>
      </w:r>
    </w:p>
    <w:p>
      <w:pPr>
        <w:numPr>
          <w:ilvl w:val="1"/>
          <w:numId w:val="59"/>
        </w:numPr>
      </w:pPr>
      <w:r>
        <w:rPr>
          <w:rFonts w:ascii="Times New Roman" w:hAnsi="Times New Roman"/>
        </w:rPr>
        <w:t>À des anomalies de la perméabilité glomérulaire aux macromolécules par altération qualitative du filtre comme la membrane basale</w:t>
      </w:r>
    </w:p>
    <w:p>
      <w:pPr>
        <w:numPr>
          <w:ilvl w:val="1"/>
          <w:numId w:val="59"/>
        </w:numPr>
      </w:pPr>
      <w:r>
        <w:rPr>
          <w:rFonts w:ascii="Times New Roman" w:hAnsi="Times New Roman"/>
        </w:rPr>
        <w:t>Augmentation de la taille des pores et de la perméabilité glomérulaire</w:t>
      </w:r>
    </w:p>
    <w:p>
      <w:pPr>
        <w:numPr>
          <w:ilvl w:val="1"/>
          <w:numId w:val="59"/>
        </w:numPr>
      </w:pPr>
      <w:r>
        <w:rPr>
          <w:rFonts w:ascii="Times New Roman" w:hAnsi="Times New Roman"/>
        </w:rPr>
        <w:t>Anomalies biochimiques secondaires à la glycosylation (</w:t>
      </w:r>
      <w:r>
        <w:rPr>
          <w:rFonts w:ascii="Times New Roman" w:hAnsi="Times New Roman"/>
          <w:i/>
        </w:rPr>
        <w:t xml:space="preserve">fixation de glucose sur les protéines) </w:t>
      </w:r>
      <w:r>
        <w:rPr>
          <w:rFonts w:ascii="Times New Roman" w:hAnsi="Times New Roman"/>
        </w:rPr>
        <w:t>des composants de cette membrane basale</w:t>
      </w:r>
    </w:p>
    <w:p>
      <w:pPr>
        <w:numPr>
          <w:ilvl w:val="1"/>
          <w:numId w:val="59"/>
        </w:numPr>
      </w:pPr>
      <w:r>
        <w:rPr>
          <w:rFonts w:ascii="Times New Roman" w:hAnsi="Times New Roman"/>
        </w:rPr>
        <w:t xml:space="preserve">Modification de la sélectivité de charge vis-à-vis des macromolécules </w:t>
      </w:r>
    </w:p>
    <w:p>
      <w:pPr>
        <w:numPr>
          <w:ilvl w:val="1"/>
          <w:numId w:val="59"/>
        </w:numPr>
      </w:pPr>
      <w:r>
        <w:rPr>
          <w:rFonts w:ascii="Times New Roman" w:hAnsi="Times New Roman"/>
        </w:rPr>
        <w:t xml:space="preserve">Élévation du gradient de pression hydrostatique </w:t>
      </w:r>
      <w:r>
        <w:rPr>
          <w:rFonts w:ascii="Times New Roman" w:hAnsi="Times New Roman"/>
        </w:rPr>
        <w:t>trans-membranaire</w:t>
      </w:r>
      <w:r>
        <w:rPr>
          <w:rFonts w:ascii="Times New Roman" w:hAnsi="Times New Roman"/>
        </w:rPr>
        <w:t xml:space="preserve"> qui dépend de :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La Pression artérielle systémique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Des résistances des artères afférentes et artères efférentes des glomérules.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sz w:val="22"/>
          <w:u w:val="single"/>
        </w:rPr>
        <w:t xml:space="preserve">Il y a une </w:t>
      </w:r>
      <w:r>
        <w:rPr>
          <w:rFonts w:ascii="Times New Roman" w:hAnsi="Times New Roman"/>
          <w:b/>
          <w:sz w:val="22"/>
          <w:u w:val="single"/>
        </w:rPr>
        <w:t>hypertrophie rénale</w:t>
      </w:r>
    </w:p>
    <w:p>
      <w:pPr>
        <w:numPr>
          <w:ilvl w:val="1"/>
          <w:numId w:val="57"/>
        </w:numPr>
      </w:pPr>
      <w:r>
        <w:rPr>
          <w:rFonts w:ascii="Times New Roman" w:hAnsi="Times New Roman"/>
        </w:rPr>
        <w:t>L’hyperglycémie chronique conduit (par le biais du stress oxydatif) à une vasodilatation de l’artériole afférente et augmente la sécrétion locale de facteurs de croissance : principalement l’</w:t>
      </w:r>
      <w:r>
        <w:rPr>
          <w:rFonts w:ascii="Times New Roman" w:hAnsi="Times New Roman"/>
        </w:rPr>
        <w:t>Insulin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Growth</w:t>
      </w:r>
      <w:r>
        <w:rPr>
          <w:rFonts w:ascii="Times New Roman" w:hAnsi="Times New Roman"/>
        </w:rPr>
        <w:t xml:space="preserve"> Factor (IGF1) </w:t>
      </w:r>
    </w:p>
    <w:p>
      <w:pPr>
        <w:pStyle w:val="Heading2"/>
      </w:pPr>
      <w:r>
        <w:rPr>
          <w:rFonts w:ascii="Times New Roman" w:hAnsi="Times New Roman"/>
        </w:rPr>
        <w:t>RETENIR LE DIAGNOSTIC DE ND si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Microalbuminurie positive et/ou élévation de la créatininémie +/- HTA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Évolution du diabète &gt; 5 ans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Rétinopathie diabétique associée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Pas d’hématurie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Tailles des reins normales à l’échographie rénale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</w:rPr>
        <w:t>Autres complications du diabète (</w:t>
      </w:r>
      <w:r>
        <w:rPr>
          <w:rFonts w:ascii="Times New Roman" w:hAnsi="Times New Roman"/>
          <w:i/>
        </w:rPr>
        <w:t>car à Madagascar, le retard diagnostic peut aller jusqu’à 7 ans)</w:t>
      </w:r>
    </w:p>
    <w:p>
      <w:pPr/>
    </w:p>
    <w:p>
      <w:pPr>
        <w:pStyle w:val="Heading2"/>
      </w:pPr>
      <w:r>
        <w:rPr>
          <w:rFonts w:ascii="Times New Roman" w:hAnsi="Times New Roman"/>
        </w:rPr>
        <w:t>HISTOLOGIE</w:t>
      </w:r>
    </w:p>
    <w:p>
      <w:pPr>
        <w:numPr>
          <w:ilvl w:val="0"/>
          <w:numId w:val="61"/>
        </w:numPr>
      </w:pPr>
      <w:r>
        <w:rPr>
          <w:rFonts w:ascii="Times New Roman" w:hAnsi="Times New Roman"/>
          <w:u w:val="single"/>
        </w:rPr>
        <w:t>Anomalies glomérulaires :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Les cellules </w:t>
      </w:r>
      <w:r>
        <w:rPr>
          <w:rFonts w:ascii="Times New Roman" w:hAnsi="Times New Roman"/>
        </w:rPr>
        <w:t>épithéliales (</w:t>
      </w:r>
      <w:r>
        <w:rPr>
          <w:rFonts w:ascii="Times New Roman" w:hAnsi="Times New Roman"/>
          <w:i/>
        </w:rPr>
        <w:t>limite externe de la chambre urinaire)</w:t>
      </w:r>
      <w:r>
        <w:rPr>
          <w:rFonts w:ascii="Times New Roman" w:hAnsi="Times New Roman"/>
        </w:rPr>
        <w:t xml:space="preserve"> sont préservées au stade précoce</w:t>
      </w:r>
    </w:p>
    <w:p>
      <w:pPr>
        <w:numPr>
          <w:ilvl w:val="0"/>
          <w:numId w:val="61"/>
        </w:numPr>
      </w:pPr>
      <w:r>
        <w:rPr>
          <w:rFonts w:ascii="Times New Roman" w:hAnsi="Times New Roman"/>
          <w:u w:val="single"/>
        </w:rPr>
        <w:t xml:space="preserve">Anomalies </w:t>
      </w:r>
      <w:r>
        <w:rPr>
          <w:rFonts w:ascii="Times New Roman" w:hAnsi="Times New Roman"/>
          <w:u w:val="single"/>
        </w:rPr>
        <w:t>tubulo</w:t>
      </w:r>
      <w:r>
        <w:rPr>
          <w:rFonts w:ascii="Times New Roman" w:hAnsi="Times New Roman"/>
          <w:u w:val="single"/>
        </w:rPr>
        <w:t>-interstitielles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L’</w:t>
      </w:r>
      <w:r>
        <w:rPr>
          <w:rFonts w:ascii="Times New Roman" w:hAnsi="Times New Roman"/>
        </w:rPr>
        <w:t>hyalinose</w:t>
      </w:r>
      <w:r>
        <w:rPr>
          <w:rFonts w:ascii="Times New Roman" w:hAnsi="Times New Roman"/>
        </w:rPr>
        <w:t xml:space="preserve"> et l’atrophie sont tardives</w:t>
      </w:r>
    </w:p>
    <w:p>
      <w:pPr>
        <w:numPr>
          <w:ilvl w:val="0"/>
          <w:numId w:val="61"/>
        </w:numPr>
      </w:pPr>
      <w:r>
        <w:rPr>
          <w:rFonts w:ascii="Times New Roman" w:hAnsi="Times New Roman"/>
          <w:u w:val="single"/>
        </w:rPr>
        <w:t>Lésions artériolaires</w:t>
      </w:r>
      <w:r>
        <w:rPr>
          <w:rFonts w:ascii="Times New Roman" w:hAnsi="Times New Roman"/>
        </w:rPr>
        <w:t xml:space="preserve"> sont précoces :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Sous forme d’infiltrats hyalins dans l’espace sous-endothélial des artérioles afférentes et </w:t>
      </w:r>
      <w:r>
        <w:rPr>
          <w:rFonts w:ascii="Times New Roman" w:hAnsi="Times New Roman"/>
        </w:rPr>
        <w:t>efférentes</w:t>
      </w:r>
    </w:p>
    <w:p>
      <w:pPr>
        <w:numPr>
          <w:ilvl w:val="0"/>
          <w:numId w:val="61"/>
        </w:numPr>
      </w:pPr>
      <w:r>
        <w:rPr>
          <w:rFonts w:ascii="Times New Roman" w:hAnsi="Times New Roman"/>
          <w:u w:val="single"/>
        </w:rPr>
        <w:t xml:space="preserve">Lésions de la MB </w:t>
      </w:r>
      <w:r>
        <w:rPr>
          <w:rFonts w:ascii="Times New Roman" w:hAnsi="Times New Roman"/>
          <w:u w:val="single"/>
        </w:rPr>
        <w:t>glomérulaire :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On voit une expansion de la membrane basale glomérulaire au bout de 2 ans de diabète (</w:t>
      </w:r>
      <w:r>
        <w:rPr>
          <w:rFonts w:ascii="Times New Roman" w:hAnsi="Times New Roman"/>
          <w:i/>
        </w:rPr>
        <w:t xml:space="preserve">FDC IGF1 -&gt; </w:t>
      </w:r>
      <w:r>
        <w:rPr>
          <w:rFonts w:ascii="Times New Roman" w:hAnsi="Times New Roman"/>
          <w:i/>
        </w:rPr>
        <w:t>miah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ngeda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ilay</w:t>
      </w:r>
      <w:r>
        <w:rPr>
          <w:rFonts w:ascii="Times New Roman" w:hAnsi="Times New Roman"/>
          <w:i/>
        </w:rPr>
        <w:t xml:space="preserve"> MB)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On a épaississement d’environ 30% dans les 5 ans d’évolution du diabète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Son épaisseur a doublé quand la néphropathie se manifeste cliniquement</w:t>
      </w:r>
    </w:p>
    <w:p>
      <w:pPr>
        <w:numPr>
          <w:ilvl w:val="0"/>
          <w:numId w:val="61"/>
        </w:numPr>
      </w:pPr>
      <w:r>
        <w:rPr>
          <w:rFonts w:ascii="Times New Roman" w:hAnsi="Times New Roman"/>
          <w:u w:val="single"/>
        </w:rPr>
        <w:t>Expansion mésangiale :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Après 3 ans d’évolution du diabète, on voit une augmentation de la matrice mésangiale extracellulaire et du cytoplasme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Quand le volume mésangial passe de 27% à 37% du volume glomérulaire, il y a augmentation du volume glomérulaire total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Cette expansion donne une augmentation de la surface totale de la filtration glomérulaire (comprenant l’endothélium vasculaire, la membrane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asale glomérulaire et l’épithélium) =&gt; Majoration du DFG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Une expansion du </w:t>
      </w:r>
      <w:r>
        <w:rPr>
          <w:rFonts w:ascii="Times New Roman" w:hAnsi="Times New Roman"/>
        </w:rPr>
        <w:t>mésangium</w:t>
      </w:r>
      <w:r>
        <w:rPr>
          <w:rFonts w:ascii="Times New Roman" w:hAnsi="Times New Roman"/>
        </w:rPr>
        <w:t xml:space="preserve"> &gt; 37% va (par contre) gêner la filtration glomérulaire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La poursuite de cette hypertrophie va conduire finalement à l’occlusion du glomérule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Lésions </w:t>
      </w:r>
      <w:r>
        <w:rPr>
          <w:rFonts w:ascii="Times New Roman" w:hAnsi="Times New Roman"/>
        </w:rPr>
        <w:t>glomérulaires (</w:t>
      </w:r>
      <w:r>
        <w:rPr>
          <w:rFonts w:ascii="Times New Roman" w:hAnsi="Times New Roman"/>
          <w:i/>
        </w:rPr>
        <w:t>congestion++, extravasation et phénomène inflammatoire++)</w:t>
      </w:r>
      <w:r>
        <w:rPr>
          <w:rFonts w:ascii="Times New Roman" w:hAnsi="Times New Roman"/>
        </w:rPr>
        <w:t xml:space="preserve"> =&gt; </w:t>
      </w:r>
      <w:r>
        <w:rPr>
          <w:rFonts w:ascii="Times New Roman" w:hAnsi="Times New Roman"/>
        </w:rPr>
        <w:t>glomérulosclérose</w:t>
      </w:r>
      <w:r>
        <w:rPr>
          <w:rFonts w:ascii="Times New Roman" w:hAnsi="Times New Roman"/>
        </w:rPr>
        <w:t xml:space="preserve"> : diffuse ou nodulaire (”lésions nodulaires de </w:t>
      </w:r>
      <w:r>
        <w:rPr>
          <w:rFonts w:ascii="Times New Roman" w:hAnsi="Times New Roman"/>
        </w:rPr>
        <w:t>Kimmelstiel</w:t>
      </w:r>
      <w:r>
        <w:rPr>
          <w:rFonts w:ascii="Times New Roman" w:hAnsi="Times New Roman"/>
        </w:rPr>
        <w:t xml:space="preserve">-Wilson) : par expansion mésangiale ainsi il y a la classification de </w:t>
      </w:r>
      <w:r>
        <w:rPr>
          <w:rFonts w:ascii="Times New Roman" w:hAnsi="Times New Roman"/>
        </w:rPr>
        <w:t>Kimmelstiel</w:t>
      </w:r>
      <w:r>
        <w:rPr>
          <w:rFonts w:ascii="Times New Roman" w:hAnsi="Times New Roman"/>
        </w:rPr>
        <w:t>-Wilson</w:t>
      </w:r>
    </w:p>
    <w:p>
      <w:pPr/>
    </w:p>
    <w:p>
      <w:pPr>
        <w:pStyle w:val="Heading2"/>
      </w:pPr>
      <w:r>
        <w:rPr>
          <w:rFonts w:ascii="Times New Roman" w:hAnsi="Times New Roman"/>
        </w:rPr>
        <w:t>CLASSIFICATION</w:t>
      </w:r>
    </w:p>
    <w:p>
      <w:pPr/>
      <w:r>
        <w:rPr>
          <w:rFonts w:ascii="Times New Roman" w:hAnsi="Times New Roman"/>
        </w:rPr>
        <w:t>Mogensen</w:t>
      </w:r>
      <w:r>
        <w:rPr>
          <w:rFonts w:ascii="Times New Roman" w:hAnsi="Times New Roman"/>
        </w:rPr>
        <w:t xml:space="preserve"> a donné (à la fin des années 80) une classification </w:t>
      </w:r>
      <w:r>
        <w:rPr>
          <w:rFonts w:ascii="Times New Roman" w:hAnsi="Times New Roman"/>
        </w:rPr>
        <w:t>anatomo</w:t>
      </w:r>
      <w:r>
        <w:rPr>
          <w:rFonts w:ascii="Times New Roman" w:hAnsi="Times New Roman"/>
        </w:rPr>
        <w:t>-fonctionnelle des stades d’évolution de la néphropathie diabétique</w:t>
      </w:r>
    </w:p>
    <w:p>
      <w:pPr>
        <w:pStyle w:val="Heading3"/>
      </w:pPr>
      <w:r>
        <w:rPr/>
        <w:t>STADE 1</w:t>
      </w:r>
      <w:r>
        <w:rPr/>
        <w:br/>
        <w:t xml:space="preserve">Hypertrophie rénale et hyperfiltration glomérulaire 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Avec augmentation du DFG de base au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dessus de son DFG normal théorique (fonction de l’âge et surface corporelle)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Avec augmentation de la taille des 2 reins</w:t>
      </w:r>
    </w:p>
    <w:p>
      <w:pPr>
        <w:pStyle w:val="Heading3"/>
      </w:pPr>
      <w:r>
        <w:rPr/>
        <w:t>STADE 2</w:t>
      </w:r>
      <w:r>
        <w:rPr/>
        <w:br/>
      </w:r>
      <w:r>
        <w:rPr/>
        <w:t>Phase latente ou silencieuse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Après quelques années d’évolution du diabète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Peut persister plusieurs années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Apparition de lésions histologiques rénales minimes, sans traduction clinique</w:t>
      </w:r>
    </w:p>
    <w:p>
      <w:pPr>
        <w:pStyle w:val="Heading3"/>
      </w:pPr>
      <w:r>
        <w:rPr/>
        <w:t>STADE 3</w:t>
      </w:r>
      <w:r>
        <w:rPr/>
        <w:br/>
      </w:r>
      <w:r>
        <w:rPr/>
        <w:t>Signes de néphropathie débutante (</w:t>
      </w:r>
      <w:r>
        <w:rPr/>
        <w:t>incipiens</w:t>
      </w:r>
      <w:r>
        <w:rPr/>
        <w:t>)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Après au minimum 5 ans d’évolution du diabète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  <w:b/>
        </w:rPr>
        <w:t>Présence d’une microalbuminurie +/- HTA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 xml:space="preserve">Augmentation de l’excrétion urinaire d’albumine 30-300 Mg/24h (ou 20-200 mg/l) </w:t>
      </w:r>
      <w:r>
        <w:rPr>
          <w:rFonts w:ascii="Times New Roman" w:hAnsi="Times New Roman"/>
          <w:i/>
        </w:rPr>
        <w:t xml:space="preserve">même si 3000mg/24h : </w:t>
      </w:r>
      <w:r>
        <w:rPr>
          <w:rFonts w:ascii="Times New Roman" w:hAnsi="Times New Roman"/>
          <w:i/>
        </w:rPr>
        <w:t>mbola</w:t>
      </w:r>
      <w:r>
        <w:rPr>
          <w:rFonts w:ascii="Times New Roman" w:hAnsi="Times New Roman"/>
          <w:i/>
        </w:rPr>
        <w:t xml:space="preserve"> microalbuminurie </w:t>
      </w:r>
      <w:r>
        <w:rPr>
          <w:rFonts w:ascii="Times New Roman" w:hAnsi="Times New Roman"/>
          <w:i/>
        </w:rPr>
        <w:t>foana</w:t>
      </w:r>
      <w:r>
        <w:rPr>
          <w:rFonts w:ascii="Times New Roman" w:hAnsi="Times New Roman"/>
          <w:i/>
        </w:rPr>
        <w:t xml:space="preserve"> no </w:t>
      </w:r>
      <w:r>
        <w:rPr>
          <w:rFonts w:ascii="Times New Roman" w:hAnsi="Times New Roman"/>
          <w:i/>
        </w:rPr>
        <w:t>anarany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satria</w:t>
      </w:r>
      <w:r>
        <w:rPr>
          <w:rFonts w:ascii="Times New Roman" w:hAnsi="Times New Roman"/>
          <w:i/>
        </w:rPr>
        <w:t xml:space="preserve"> méthode de dosage no </w:t>
      </w:r>
      <w:r>
        <w:rPr>
          <w:rFonts w:ascii="Times New Roman" w:hAnsi="Times New Roman"/>
          <w:i/>
        </w:rPr>
        <w:t>mitondra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azy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hoe</w:t>
      </w:r>
      <w:r>
        <w:rPr>
          <w:rFonts w:ascii="Times New Roman" w:hAnsi="Times New Roman"/>
          <w:i/>
        </w:rPr>
        <w:t xml:space="preserve"> macro sa micro en pratique</w:t>
      </w:r>
    </w:p>
    <w:p>
      <w:pPr>
        <w:pStyle w:val="Heading3"/>
      </w:pPr>
      <w:r>
        <w:rPr/>
        <w:t>STADE 4</w:t>
      </w:r>
      <w:r>
        <w:rPr/>
        <w:br/>
      </w:r>
      <w:r>
        <w:rPr/>
        <w:t>Néphropathie patente clinique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 xml:space="preserve">Protéinurie </w:t>
      </w:r>
      <w:r>
        <w:rPr>
          <w:rFonts w:ascii="Times New Roman" w:hAnsi="Times New Roman"/>
        </w:rPr>
        <w:t>macroscopique,</w:t>
      </w:r>
      <w:r>
        <w:rPr>
          <w:rFonts w:ascii="Times New Roman" w:hAnsi="Times New Roman"/>
        </w:rPr>
        <w:t xml:space="preserve"> &gt; 300mg/24h (</w:t>
      </w:r>
      <w:r>
        <w:rPr>
          <w:rFonts w:ascii="Times New Roman" w:hAnsi="Times New Roman"/>
          <w:i/>
        </w:rPr>
        <w:t>peut être largement supérieur, 10 ou 16 g ou 20 -&gt; syndrome néphrotique)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HTA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Insuffisance rénale chronique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fanao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mampiaraka</w:t>
      </w:r>
      <w:r>
        <w:rPr>
          <w:rFonts w:ascii="Times New Roman" w:hAnsi="Times New Roman"/>
          <w:i/>
        </w:rPr>
        <w:t xml:space="preserve"> dosage protéinurie </w:t>
      </w:r>
      <w:r>
        <w:rPr>
          <w:rFonts w:ascii="Times New Roman" w:hAnsi="Times New Roman"/>
          <w:i/>
        </w:rPr>
        <w:t>sy</w:t>
      </w:r>
      <w:r>
        <w:rPr>
          <w:rFonts w:ascii="Times New Roman" w:hAnsi="Times New Roman"/>
          <w:i/>
        </w:rPr>
        <w:t xml:space="preserve"> microalbuminurie </w:t>
      </w:r>
      <w:r>
        <w:rPr>
          <w:rFonts w:ascii="Times New Roman" w:hAnsi="Times New Roman"/>
          <w:i/>
        </w:rPr>
        <w:t>miaraka</w:t>
      </w:r>
      <w:r>
        <w:rPr>
          <w:rFonts w:ascii="Times New Roman" w:hAnsi="Times New Roman"/>
          <w:i/>
        </w:rPr>
        <w:t xml:space="preserve"> :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dikany</w:t>
      </w:r>
      <w:r>
        <w:rPr>
          <w:rFonts w:ascii="Times New Roman" w:hAnsi="Times New Roman"/>
          <w:i/>
        </w:rPr>
        <w:t xml:space="preserve">. BU </w:t>
      </w:r>
      <w:r>
        <w:rPr>
          <w:rFonts w:ascii="Times New Roman" w:hAnsi="Times New Roman"/>
          <w:i/>
        </w:rPr>
        <w:t>aloha</w:t>
      </w:r>
      <w:r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  <w:i/>
        </w:rPr>
        <w:t>rehefa</w:t>
      </w:r>
      <w:r>
        <w:rPr>
          <w:rFonts w:ascii="Times New Roman" w:hAnsi="Times New Roman"/>
          <w:i/>
        </w:rPr>
        <w:t xml:space="preserve"> négatif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protéinurie dia </w:t>
      </w:r>
      <w:r>
        <w:rPr>
          <w:rFonts w:ascii="Times New Roman" w:hAnsi="Times New Roman"/>
          <w:i/>
        </w:rPr>
        <w:t>izay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vao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manao</w:t>
      </w:r>
      <w:r>
        <w:rPr>
          <w:rFonts w:ascii="Times New Roman" w:hAnsi="Times New Roman"/>
          <w:i/>
        </w:rPr>
        <w:t xml:space="preserve"> microalbuminurie pour dépister l’atteinte rénale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  <w:i/>
        </w:rPr>
        <w:t>Rehefa</w:t>
      </w:r>
      <w:r>
        <w:rPr>
          <w:rFonts w:ascii="Times New Roman" w:hAnsi="Times New Roman"/>
          <w:i/>
        </w:rPr>
        <w:t xml:space="preserve"> protéinurie </w:t>
      </w:r>
      <w:r>
        <w:rPr>
          <w:rFonts w:ascii="Times New Roman" w:hAnsi="Times New Roman"/>
          <w:i/>
        </w:rPr>
        <w:t>néphrotique :</w:t>
      </w:r>
      <w:r>
        <w:rPr>
          <w:rFonts w:ascii="Times New Roman" w:hAnsi="Times New Roman"/>
          <w:i/>
        </w:rPr>
        <w:t xml:space="preserve"> évolution très rapide : 12 mois dia </w:t>
      </w:r>
      <w:r>
        <w:rPr>
          <w:rFonts w:ascii="Times New Roman" w:hAnsi="Times New Roman"/>
          <w:i/>
        </w:rPr>
        <w:t>efa</w:t>
      </w:r>
      <w:r>
        <w:rPr>
          <w:rFonts w:ascii="Times New Roman" w:hAnsi="Times New Roman"/>
          <w:i/>
        </w:rPr>
        <w:t xml:space="preserve"> terminal</w:t>
      </w:r>
    </w:p>
    <w:p>
      <w:pPr>
        <w:pStyle w:val="Heading3"/>
      </w:pPr>
      <w:r>
        <w:rPr/>
        <w:t>STADE 5</w:t>
      </w:r>
      <w:r>
        <w:rPr/>
        <w:br/>
      </w:r>
      <w:r>
        <w:rPr/>
        <w:t>Insuffisance rénale préterminale ou terminale, irréversible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La protéinurie diminue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La fonction rénale s’effondre</w:t>
      </w:r>
    </w:p>
    <w:p>
      <w:pPr>
        <w:numPr>
          <w:ilvl w:val="1"/>
          <w:numId w:val="62"/>
        </w:numPr>
      </w:pPr>
      <w:r>
        <w:rPr>
          <w:rFonts w:ascii="Times New Roman" w:hAnsi="Times New Roman"/>
        </w:rPr>
        <w:t>10 à 15 ans après l’apparition du stade 3</w:t>
      </w:r>
    </w:p>
    <w:p>
      <w:pPr/>
    </w:p>
    <w:p>
      <w:pPr>
        <w:pStyle w:val="Heading2"/>
      </w:pPr>
      <w:r>
        <w:rPr>
          <w:rFonts w:ascii="Times New Roman" w:hAnsi="Times New Roman"/>
        </w:rPr>
        <w:t xml:space="preserve">TRAITEMENT : </w:t>
      </w:r>
      <w:r>
        <w:rPr>
          <w:rFonts w:ascii="Times New Roman" w:hAnsi="Times New Roman"/>
        </w:rPr>
        <w:t>néphroprotection</w:t>
      </w:r>
      <w:r>
        <w:rPr>
          <w:rFonts w:ascii="Times New Roman" w:hAnsi="Times New Roman"/>
        </w:rPr>
        <w:t xml:space="preserve"> : normaliser la glycémie, la protéinurie et la </w:t>
      </w:r>
      <w:r>
        <w:rPr>
          <w:rFonts w:ascii="Times New Roman" w:hAnsi="Times New Roman"/>
        </w:rPr>
        <w:t>tension artérielle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Obtenir une normalité glycémique (HbA1c&lt; 7%)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Cible PA &lt; 130/80 mmHg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Maintenir la microalbuminurie sous le seuil physiologique (&lt; 30 mg/24</w:t>
      </w:r>
      <w:r>
        <w:rPr>
          <w:rFonts w:ascii="Times New Roman" w:hAnsi="Times New Roman"/>
        </w:rPr>
        <w:t>h.…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63"/>
        </w:numPr>
      </w:pPr>
      <w:r>
        <w:rPr>
          <w:rFonts w:ascii="Times New Roman" w:hAnsi="Times New Roman"/>
          <w:b/>
          <w:u w:val="single"/>
        </w:rPr>
        <w:t>Traitement des altérations hémodynamiques précoces : (</w:t>
      </w:r>
      <w:r>
        <w:rPr>
          <w:rFonts w:ascii="Times New Roman" w:hAnsi="Times New Roman"/>
          <w:b/>
        </w:rPr>
        <w:t>*dès la microalbuminurie)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IEC ou ARA2 (</w:t>
      </w:r>
      <w:r>
        <w:rPr>
          <w:rFonts w:ascii="Times New Roman" w:hAnsi="Times New Roman"/>
          <w:i/>
        </w:rPr>
        <w:t xml:space="preserve">même si non hypertendu.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midina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akory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tension-</w:t>
      </w:r>
      <w:r>
        <w:rPr>
          <w:rFonts w:ascii="Times New Roman" w:hAnsi="Times New Roman"/>
          <w:i/>
        </w:rPr>
        <w:t>any</w:t>
      </w:r>
      <w:r>
        <w:rPr>
          <w:rFonts w:ascii="Times New Roman" w:hAnsi="Times New Roman"/>
          <w:i/>
        </w:rPr>
        <w:t xml:space="preserve">) néphroprotecteur, </w:t>
      </w:r>
      <w:r>
        <w:rPr>
          <w:rFonts w:ascii="Times New Roman" w:hAnsi="Times New Roman"/>
          <w:i/>
        </w:rPr>
        <w:t>vasculoprotecteur</w:t>
      </w:r>
      <w:r>
        <w:rPr>
          <w:rFonts w:ascii="Times New Roman" w:hAnsi="Times New Roman"/>
          <w:i/>
        </w:rPr>
        <w:t xml:space="preserve">, cardioprotecteur </w:t>
      </w:r>
    </w:p>
    <w:p>
      <w:pPr>
        <w:numPr>
          <w:ilvl w:val="2"/>
          <w:numId w:val="63"/>
        </w:num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Action</w:t>
      </w:r>
      <w:r>
        <w:rPr>
          <w:rFonts w:ascii="Times New Roman" w:hAnsi="Times New Roman"/>
        </w:rPr>
        <w:t xml:space="preserve"> hypotensive + action spécifique sur la réduction de l’hyperpression </w:t>
      </w:r>
      <w:r>
        <w:rPr>
          <w:rFonts w:ascii="Times New Roman" w:hAnsi="Times New Roman"/>
        </w:rPr>
        <w:t>intraglomérulaire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Arrêt du tabac 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Traiter la dyslipidémie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Traiter les infections urinaires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Traiter l’obstacle au niveau des voies urinaires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Corriger l’obésité 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