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NEPHROPATHIE LUPIQUE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 xml:space="preserve">Néphropathie lupique : présence de protéinurie &gt; 0,5 g/24h ou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3+ et/ou hématurie, leucocyturie, hémoglobinurie, cellules tubulaires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>Protéinurie/Créatininurie &gt; 0,5 et &gt; 5 GR ou GB par champ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>Histologie : stigmates de Glomérulonéphrite avec complexe immun compatible avec NL</w:t>
      </w:r>
    </w:p>
    <w:p>
      <w:pPr>
        <w:ind w:left="720"/>
      </w:pP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Epidémiologie :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35% des lupiques ont une NL au moment du diagnostic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Durant 10 ans d’évolution, apparition de NL dans 60% des cas</w:t>
      </w:r>
    </w:p>
    <w:p>
      <w:pPr>
        <w:pStyle w:val="Heading3"/>
      </w:pPr>
      <w:r>
        <w:rPr>
          <w:rFonts w:ascii="Times New Roman" w:hAnsi="Times New Roman"/>
        </w:rPr>
        <w:t>Physiopathologie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Hyperactivité lymphocytaire T et B =&gt; production d’auto-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dirigés contre de nombreux Ag moléculaires intracellulaire, membranaire ou de protéine plasmatique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La liaison des auto-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aux Ag cibles forment des complexes immuns circulants (C.I.C) ou tissulaire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Les C.I.C activent la voie classique du complément, et les cellules leucocytaires (monocytes, macrophage, PN, cellules </w:t>
      </w:r>
      <w:r>
        <w:rPr>
          <w:rFonts w:ascii="Times New Roman" w:hAnsi="Times New Roman"/>
        </w:rPr>
        <w:t>NK, ...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L’activation de ces processus inflammatoire -&gt; lésions tissulaires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GN à dépôts de complexes immuns et d’</w:t>
      </w:r>
      <w:r>
        <w:rPr>
          <w:rFonts w:ascii="Times New Roman" w:hAnsi="Times New Roman"/>
        </w:rPr>
        <w:t>Ig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Néphrite </w:t>
      </w:r>
      <w:r>
        <w:rPr>
          <w:rFonts w:ascii="Times New Roman" w:hAnsi="Times New Roman"/>
        </w:rPr>
        <w:t>tubulo</w:t>
      </w:r>
      <w:r>
        <w:rPr>
          <w:rFonts w:ascii="Times New Roman" w:hAnsi="Times New Roman"/>
        </w:rPr>
        <w:t>-interstitiel, avec ou sans dépôts immuns le long des membranes basales tubulaires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Dysfonction tubulaire distale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-&gt; acidose tubulaire liée à la présence d’auto-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dirigés contre les constituants des cellules intercalaires</w:t>
      </w:r>
    </w:p>
    <w:p>
      <w:pPr>
        <w:numPr>
          <w:ilvl w:val="0"/>
          <w:numId w:val="74"/>
        </w:numPr>
      </w:pPr>
      <w:r>
        <w:rPr>
          <w:rFonts w:ascii="Times New Roman" w:hAnsi="Times New Roman"/>
          <w:b/>
          <w:u w:val="single"/>
        </w:rPr>
        <w:t xml:space="preserve">Atteinte vasculaire : 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Type vasculaire avec lésion de nécrose fibrinoïde obstructive, peu ou pas inflammatoire, dépôts de complexes immuns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Type microangiopathie thrombotique dans les petites artères et les capillaires glomérulaires et grosses branches artérielles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 xml:space="preserve">En plus le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anti-PL circulants (!! avortement spontanée chez la femme)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>Signes extra-rénaux +++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>Critères diagnostiques du lupus +++</w:t>
      </w:r>
    </w:p>
    <w:p>
      <w:pPr/>
    </w:p>
    <w:p>
      <w:pPr>
        <w:pStyle w:val="Heading3"/>
      </w:pPr>
      <w:r>
        <w:rPr>
          <w:rFonts w:ascii="Times New Roman" w:hAnsi="Times New Roman"/>
        </w:rPr>
        <w:t>ANAPATH</w:t>
      </w:r>
    </w:p>
    <w:p>
      <w:pPr>
        <w:pStyle w:val="Heading4"/>
      </w:pPr>
      <w:r>
        <w:rPr/>
        <w:t xml:space="preserve">Classe I : </w:t>
      </w:r>
      <w:r>
        <w:rPr/>
        <w:t>optique normale</w:t>
      </w:r>
    </w:p>
    <w:p>
      <w:pPr>
        <w:pStyle w:val="Heading4"/>
      </w:pPr>
      <w:r>
        <w:rPr/>
        <w:t xml:space="preserve">Classe II : </w:t>
      </w:r>
      <w:r>
        <w:rPr/>
        <w:t>prolifération mésangiale (</w:t>
      </w:r>
      <w:r>
        <w:rPr>
          <w:i/>
        </w:rPr>
        <w:t xml:space="preserve">fréquence 10 à 20%) : </w:t>
      </w:r>
      <w:r>
        <w:rPr/>
        <w:t>GN mésangiale (II)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Atteinte glomérulaire précoce, modérée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Hématurie microscopique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Protéinurie de faible abondance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Syndrome néphrotique possible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HTA rare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Sans insuffisance rénale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Sans </w:t>
      </w:r>
      <w:r>
        <w:rPr>
          <w:rFonts w:ascii="Times New Roman" w:hAnsi="Times New Roman"/>
        </w:rPr>
        <w:t>hypocomplémentémie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Faible élévation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anti-DNA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Pronostic rénal excellent</w:t>
      </w:r>
    </w:p>
    <w:p>
      <w:pPr>
        <w:pStyle w:val="Heading4"/>
      </w:pPr>
      <w:r>
        <w:rPr/>
        <w:t xml:space="preserve">Classe III : </w:t>
      </w:r>
      <w:r>
        <w:rPr/>
        <w:t xml:space="preserve">prolifération endo +/- </w:t>
      </w:r>
      <w:r>
        <w:rPr/>
        <w:t>extracapillaire</w:t>
      </w:r>
      <w:r>
        <w:rPr/>
        <w:t xml:space="preserve"> focale </w:t>
      </w:r>
      <w:r>
        <w:rPr/>
        <w:t>(&lt;</w:t>
      </w:r>
      <w:r>
        <w:rPr/>
        <w:t xml:space="preserve"> 50% des glomérules) = ébauche de croissant (fréquence : 10 à 20%)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Atteinte glomérulaire, </w:t>
      </w:r>
      <w:r>
        <w:rPr>
          <w:rFonts w:ascii="Times New Roman" w:hAnsi="Times New Roman"/>
        </w:rPr>
        <w:t>mésangiopathie</w:t>
      </w:r>
      <w:r>
        <w:rPr>
          <w:rFonts w:ascii="Times New Roman" w:hAnsi="Times New Roman"/>
        </w:rPr>
        <w:t xml:space="preserve"> avancée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Protéinurie et hématurie quasi-constante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Syndrome néphrotique, HTA, IR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50% des glomérules sont atteints par la prolifération (active ou inactive), souvent segmentaire et nécrosante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Dépôts plus uniformes</w:t>
      </w:r>
      <w:r>
        <w:rPr>
          <w:rFonts w:ascii="Times New Roman" w:hAnsi="Times New Roman"/>
        </w:rPr>
        <w:t xml:space="preserve"> d’IgG et C3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Sous-classes de la classe III distinguées selon la présence ou non de lésions actives (IIIA) ou chroniques (IIIC)</w:t>
      </w:r>
    </w:p>
    <w:p>
      <w:pPr>
        <w:pStyle w:val="Heading4"/>
      </w:pPr>
      <w:r>
        <w:rPr/>
        <w:t xml:space="preserve">Classe IV : </w:t>
      </w:r>
      <w:r>
        <w:rPr/>
        <w:t xml:space="preserve">prolifération endo +/- </w:t>
      </w:r>
      <w:r>
        <w:rPr/>
        <w:t>extracapillaire</w:t>
      </w:r>
      <w:r>
        <w:rPr/>
        <w:t xml:space="preserve"> diffuse (&gt; 50% des glomérules)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Clinique : plus sévère, la plus fréquente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50% parmi les Néphropathies lupiques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Protéinurie et hématurie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Syndrome néphrotique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HTA, insuffisance rénale : fréquentes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Syndrome néphritique aiguë : sédiment urinaire “actif</w:t>
      </w:r>
      <w:r>
        <w:rPr>
          <w:rFonts w:ascii="Times New Roman" w:hAnsi="Times New Roman"/>
        </w:rPr>
        <w:t>” ;</w:t>
      </w:r>
      <w:r>
        <w:rPr>
          <w:rFonts w:ascii="Times New Roman" w:hAnsi="Times New Roman"/>
        </w:rPr>
        <w:t xml:space="preserve"> insuffisance rénale aiguë ou rapidement progressive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Hypocomplémentémie</w:t>
      </w:r>
    </w:p>
    <w:p>
      <w:pPr>
        <w:numPr>
          <w:ilvl w:val="2"/>
          <w:numId w:val="76"/>
        </w:numPr>
      </w:pPr>
      <w:r>
        <w:rPr>
          <w:rFonts w:ascii="Times New Roman" w:hAnsi="Times New Roman"/>
        </w:rPr>
        <w:t>Augmentation significative du taux d’Ac anti-DNA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Lésions comme celles de Classe III, plus étendues et plus sévères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Atteintes nécrosantes et des croissants extra-capillaires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Dépôts sous-endothéliaux (</w:t>
      </w:r>
      <w:r>
        <w:rPr>
          <w:rFonts w:ascii="Times New Roman" w:hAnsi="Times New Roman"/>
        </w:rPr>
        <w:t>endomembraneux</w:t>
      </w:r>
      <w:r>
        <w:rPr>
          <w:rFonts w:ascii="Times New Roman" w:hAnsi="Times New Roman"/>
        </w:rPr>
        <w:t>) de complément et d’</w:t>
      </w:r>
      <w:r>
        <w:rPr>
          <w:rFonts w:ascii="Times New Roman" w:hAnsi="Times New Roman"/>
        </w:rPr>
        <w:t>Ig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Ces dépôts peuvent épaissir et “rigidifier” la paroi capillaire glomérulaire (Anses “fil de fer” ou “</w:t>
      </w:r>
      <w:r>
        <w:rPr>
          <w:rFonts w:ascii="Times New Roman" w:hAnsi="Times New Roman"/>
        </w:rPr>
        <w:t>wire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loops</w:t>
      </w:r>
      <w:r>
        <w:rPr>
          <w:rFonts w:ascii="Times New Roman" w:hAnsi="Times New Roman"/>
        </w:rPr>
        <w:t>”)</w:t>
      </w:r>
      <w:r>
        <w:rPr>
          <w:rFonts w:ascii="Times New Roman" w:hAnsi="Times New Roman"/>
        </w:rPr>
        <w:t xml:space="preserve"> ou comme dans la glomérulonéphrite </w:t>
      </w:r>
      <w:r>
        <w:rPr>
          <w:rFonts w:ascii="Times New Roman" w:hAnsi="Times New Roman"/>
        </w:rPr>
        <w:t>membrano</w:t>
      </w:r>
      <w:r>
        <w:rPr>
          <w:rFonts w:ascii="Times New Roman" w:hAnsi="Times New Roman"/>
        </w:rPr>
        <w:t>-proliférative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  <w:b/>
        </w:rPr>
        <w:t xml:space="preserve">Glomérulonéphrite proliférative diffuse segmentaire (Classe IV-S)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 xml:space="preserve">globale (IV-G </w:t>
      </w:r>
      <w:r>
        <w:rPr>
          <w:rFonts w:ascii="Times New Roman" w:hAnsi="Times New Roman"/>
        </w:rPr>
        <w:t xml:space="preserve">: glomérules 50% </w:t>
      </w:r>
      <w:r>
        <w:rPr>
          <w:rFonts w:ascii="Times New Roman" w:hAnsi="Times New Roman"/>
        </w:rPr>
        <w:t>atteints)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Sous-classes additionnelles selon </w:t>
      </w:r>
      <w:r>
        <w:rPr>
          <w:rFonts w:ascii="Times New Roman" w:hAnsi="Times New Roman"/>
          <w:b/>
        </w:rPr>
        <w:t xml:space="preserve">la présence ou l’absence de lésions actives (A) </w:t>
      </w: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  <w:b/>
        </w:rPr>
        <w:t>chronique (C)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Voir le degré d’activité (inflammation active) ou de chronicité (lésions cicatricielles glomérulaires, fibrose interstitielle et atrophie) pour évaluer le risque évolutif et l’intérêt d’un immunosuppresseur</w:t>
      </w:r>
    </w:p>
    <w:p>
      <w:pPr>
        <w:pStyle w:val="Heading4"/>
      </w:pPr>
      <w:r>
        <w:rPr/>
        <w:t xml:space="preserve">Classe V : </w:t>
      </w:r>
      <w:r>
        <w:rPr/>
        <w:t>Glomérulonéphrite extra-</w:t>
      </w:r>
      <w:r>
        <w:rPr/>
        <w:t>membraneuse ;</w:t>
      </w:r>
      <w:r>
        <w:rPr/>
        <w:t xml:space="preserve"> fréquence : 10 - 20%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Syndrome néphrotique, hématurie, HTA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Insuffisance rénale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Histologie : épaississement diffus de la membrane basale glomérulaire et nombreux dépôts extra-membraneux (sous-épithéliaux)</w:t>
      </w:r>
    </w:p>
    <w:p>
      <w:pPr>
        <w:pStyle w:val="Heading4"/>
      </w:pPr>
      <w:r>
        <w:rPr/>
        <w:t>Classe VI :</w:t>
      </w:r>
      <w:r>
        <w:rPr/>
        <w:t xml:space="preserve"> Glomérulonéphrite sclérosante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Cicatrisation d’une lésion inflammatoire antérieure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90% des glomérules globalement sclérosés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Insuffisance rénale chronique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Protéinurie variable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Sans signe d’activité du sédiment urinaire (sans hématurie ni leucocyturie ni cylindre)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Possible sans signes cliniques ni sérologique d’activité de la maladie lupique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&gt; 90% des glomérules sclérosés</w:t>
      </w:r>
    </w:p>
    <w:p>
      <w:pPr>
        <w:pStyle w:val="Heading2"/>
      </w:pPr>
      <w:r>
        <w:rPr>
          <w:rFonts w:ascii="Times New Roman" w:hAnsi="Times New Roman"/>
        </w:rPr>
        <w:t>PRONOSTIC</w:t>
      </w:r>
    </w:p>
    <w:p>
      <w:pPr>
        <w:numPr>
          <w:ilvl w:val="0"/>
          <w:numId w:val="77"/>
        </w:numPr>
      </w:pPr>
      <w:r>
        <w:rPr>
          <w:rFonts w:ascii="Times New Roman" w:hAnsi="Times New Roman"/>
        </w:rPr>
        <w:t>Classe III et IV :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Pronostic rénal mauvais à court terme sans traitement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Urgence thérapeutique</w:t>
      </w:r>
    </w:p>
    <w:p>
      <w:pPr>
        <w:numPr>
          <w:ilvl w:val="0"/>
          <w:numId w:val="77"/>
        </w:numPr>
      </w:pPr>
      <w:r>
        <w:rPr>
          <w:rFonts w:ascii="Times New Roman" w:hAnsi="Times New Roman"/>
        </w:rPr>
        <w:t xml:space="preserve">Classe V : 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Risque à long terme</w:t>
      </w:r>
    </w:p>
    <w:p>
      <w:pPr>
        <w:numPr>
          <w:ilvl w:val="0"/>
          <w:numId w:val="77"/>
        </w:numPr>
      </w:pPr>
      <w:r>
        <w:rPr>
          <w:rFonts w:ascii="Times New Roman" w:hAnsi="Times New Roman"/>
          <w:b/>
        </w:rPr>
        <w:t>Facteurs pronostics :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Race noire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Conditions socio-économiques défavorables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HTA non contrôlée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Score élevé de lésions actives et chronique sur la PBR initiale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Insuffisance rénale d’emblée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Mauvaise réponse à la thérapeutique de première ligne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Récidives rénales</w:t>
      </w:r>
    </w:p>
    <w:p>
      <w:pPr>
        <w:pStyle w:val="Heading2"/>
      </w:pPr>
      <w:r>
        <w:rPr/>
        <w:t>TRAITEMENT</w:t>
      </w:r>
      <w:r>
        <w:rPr>
          <w:rFonts w:ascii="Times New Roman" w:hAnsi="Times New Roman"/>
        </w:rPr>
      </w:r>
    </w:p>
    <w:p>
      <w:pPr>
        <w:numPr>
          <w:ilvl w:val="0"/>
          <w:numId w:val="78"/>
        </w:numPr>
      </w:pPr>
      <w:r>
        <w:rPr>
          <w:rFonts w:ascii="Times New Roman" w:hAnsi="Times New Roman"/>
          <w:b/>
        </w:rPr>
        <w:t xml:space="preserve">Classe I, II : </w:t>
      </w:r>
      <w:r>
        <w:rPr>
          <w:rFonts w:ascii="Times New Roman" w:hAnsi="Times New Roman"/>
        </w:rPr>
        <w:t>sans traitement spécifique</w:t>
      </w:r>
    </w:p>
    <w:p>
      <w:pPr>
        <w:numPr>
          <w:ilvl w:val="0"/>
          <w:numId w:val="78"/>
        </w:numPr>
      </w:pPr>
      <w:r>
        <w:rPr>
          <w:rFonts w:ascii="Times New Roman" w:hAnsi="Times New Roman"/>
          <w:b/>
        </w:rPr>
        <w:t xml:space="preserve">Classe VI : </w:t>
      </w:r>
      <w:r>
        <w:rPr>
          <w:rFonts w:ascii="Times New Roman" w:hAnsi="Times New Roman"/>
        </w:rPr>
        <w:t>préparation à l’hémodialyse</w:t>
      </w:r>
    </w:p>
    <w:p>
      <w:pPr>
        <w:pStyle w:val="Heading3"/>
        <w:numPr>
          <w:ilvl w:val="0"/>
          <w:numId w:val="85"/>
        </w:numPr>
      </w:pPr>
      <w:r>
        <w:rPr>
          <w:rFonts w:ascii="Times New Roman" w:hAnsi="Times New Roman"/>
        </w:rPr>
        <w:t>Traitement d’entretien :</w:t>
      </w:r>
    </w:p>
    <w:p>
      <w:pPr>
        <w:numPr>
          <w:ilvl w:val="1"/>
          <w:numId w:val="79"/>
        </w:numPr>
      </w:pPr>
      <w:r>
        <w:rPr>
          <w:rFonts w:ascii="Times New Roman" w:hAnsi="Times New Roman"/>
          <w:b/>
        </w:rPr>
        <w:t>Classe III, IV, V :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Corticothérapie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Hydroxychloroquine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Azathioprine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Cyclophosphamide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 xml:space="preserve">Ciclosporine 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Mycophénolate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mofétil</w:t>
      </w:r>
      <w:r>
        <w:rPr>
          <w:rFonts w:ascii="Times New Roman" w:hAnsi="Times New Roman"/>
        </w:rPr>
        <w:t xml:space="preserve"> (MMF)</w:t>
      </w:r>
    </w:p>
    <w:p>
      <w:pPr>
        <w:numPr>
          <w:ilvl w:val="2"/>
          <w:numId w:val="79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anti-CD20 (Rituximab)</w:t>
      </w:r>
    </w:p>
    <w:p>
      <w:pPr>
        <w:pStyle w:val="Heading3"/>
        <w:numPr>
          <w:ilvl w:val="0"/>
          <w:numId w:val="85"/>
        </w:numPr>
      </w:pPr>
      <w:r>
        <w:rPr>
          <w:rFonts w:ascii="Times New Roman" w:hAnsi="Times New Roman"/>
        </w:rPr>
        <w:t>Traitement non spécifique :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TA &lt; 130/80 mmHg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Activité physique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 xml:space="preserve">Dyslipidémie 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Arrêt du tabac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IEC ou ARA2</w:t>
      </w:r>
    </w:p>
    <w:p>
      <w:pPr>
        <w:pStyle w:val="Heading3"/>
        <w:numPr>
          <w:ilvl w:val="0"/>
          <w:numId w:val="85"/>
        </w:numPr>
      </w:pPr>
      <w:r>
        <w:rPr>
          <w:rFonts w:ascii="Times New Roman" w:hAnsi="Times New Roman"/>
        </w:rPr>
        <w:t>Critères de réponse :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Normalisation de la créatininémie &lt; 1 mois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Normalisation des marqueurs de l’inflammation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 xml:space="preserve">Diminution du titre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(test de </w:t>
      </w:r>
      <w:r>
        <w:rPr>
          <w:rFonts w:ascii="Times New Roman" w:hAnsi="Times New Roman"/>
        </w:rPr>
        <w:t>Farr</w:t>
      </w:r>
      <w:r>
        <w:rPr>
          <w:rFonts w:ascii="Times New Roman" w:hAnsi="Times New Roman"/>
        </w:rPr>
        <w:t>)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Normalisation de C3 et C4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Diminution de la protéinurie &gt; 50% à 1 mois</w:t>
      </w:r>
    </w:p>
    <w:p>
      <w:pPr>
        <w:numPr>
          <w:ilvl w:val="1"/>
          <w:numId w:val="79"/>
        </w:numPr>
      </w:pPr>
      <w:r>
        <w:rPr>
          <w:rFonts w:ascii="Times New Roman" w:hAnsi="Times New Roman"/>
        </w:rPr>
        <w:t>Normalisation de la protéinurie &lt; 3 mois</w:t>
      </w:r>
    </w:p>
    <w:p>
      <w:pPr>
        <w:pStyle w:val="Heading2"/>
      </w:pPr>
      <w:r>
        <w:rPr>
          <w:rFonts w:ascii="Times New Roman" w:hAnsi="Times New Roman"/>
        </w:rPr>
        <w:t>SUIVI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Clinique (efficacité, tolérance)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Cinétique de MMF entre J8 et J15 puis par an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Dosage de l’hydroxychloroquine à 3 mois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Créatininémie (par mois et 3 mois)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Protéine/créatinine urinaires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C3 et C4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(test de </w:t>
      </w:r>
      <w:r>
        <w:rPr>
          <w:rFonts w:ascii="Times New Roman" w:hAnsi="Times New Roman"/>
        </w:rPr>
        <w:t>Farr</w:t>
      </w:r>
      <w:r>
        <w:rPr>
          <w:rFonts w:ascii="Times New Roman" w:hAnsi="Times New Roman"/>
        </w:rPr>
        <w:t>)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VS, fibrinogène, CRP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BU (par mois et 3 mois)</w:t>
      </w:r>
    </w:p>
    <w:p>
      <w:pPr>
        <w:numPr>
          <w:ilvl w:val="0"/>
          <w:numId w:val="81"/>
        </w:numPr>
      </w:pPr>
      <w:r>
        <w:rPr>
          <w:rFonts w:ascii="Times New Roman" w:hAnsi="Times New Roman"/>
        </w:rPr>
        <w:t>Vit D (25-OHD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)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