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PERIARTERITE NOUEUSE</w:t>
      </w:r>
    </w:p>
    <w:p>
      <w:pPr>
        <w:pStyle w:val="Heading2"/>
      </w:pPr>
      <w:r>
        <w:rPr/>
        <w:t>INTRODUCTION</w:t>
      </w:r>
    </w:p>
    <w:p>
      <w:pPr>
        <w:numPr>
          <w:ilvl w:val="0"/>
          <w:numId w:val="30"/>
        </w:numPr>
      </w:pPr>
      <w:r>
        <w:rPr/>
        <w:t>Définition : vascularite nécrosante systémique des artères de moyen calibre, sans glomérulonéphrite</w:t>
      </w:r>
    </w:p>
    <w:p>
      <w:pPr>
        <w:numPr>
          <w:ilvl w:val="0"/>
          <w:numId w:val="30"/>
        </w:numPr>
      </w:pPr>
      <w:r>
        <w:rPr/>
        <w:t>Intérêts :</w:t>
      </w:r>
    </w:p>
    <w:p>
      <w:pPr>
        <w:numPr>
          <w:ilvl w:val="1"/>
          <w:numId w:val="30"/>
        </w:numPr>
      </w:pPr>
      <w:r>
        <w:rPr/>
        <w:t>Pronostic variable, survie à 7 ans : 80 %</w:t>
      </w:r>
    </w:p>
    <w:p>
      <w:pPr>
        <w:numPr>
          <w:ilvl w:val="1"/>
          <w:numId w:val="30"/>
        </w:numPr>
      </w:pPr>
      <w:r>
        <w:rPr/>
        <w:t>Rechute rare</w:t>
      </w:r>
    </w:p>
    <w:p>
      <w:pPr>
        <w:numPr>
          <w:ilvl w:val="1"/>
          <w:numId w:val="30"/>
        </w:numPr>
      </w:pPr>
      <w:r>
        <w:rPr/>
        <w:t>Idiopathique ou associée à VHB</w:t>
      </w:r>
    </w:p>
    <w:p>
      <w:pPr/>
    </w:p>
    <w:p>
      <w:pPr>
        <w:pStyle w:val="Heading2"/>
      </w:pPr>
      <w:r>
        <w:rPr/>
        <w:t>SIGNES</w:t>
      </w:r>
    </w:p>
    <w:p>
      <w:pPr>
        <w:pStyle w:val="Heading3"/>
      </w:pPr>
      <w:r>
        <w:rPr/>
        <w:t>SIGNES CLINIQUES</w:t>
      </w:r>
    </w:p>
    <w:p>
      <w:pPr>
        <w:numPr>
          <w:ilvl w:val="0"/>
          <w:numId w:val="31"/>
        </w:numPr>
      </w:pPr>
      <w:r>
        <w:rPr/>
        <w:t xml:space="preserve">Amaigrissement, </w:t>
      </w:r>
      <w:r>
        <w:rPr/>
        <w:t>arthromyalgies</w:t>
      </w:r>
    </w:p>
    <w:p>
      <w:pPr>
        <w:numPr>
          <w:ilvl w:val="0"/>
          <w:numId w:val="31"/>
        </w:numPr>
      </w:pPr>
      <w:r>
        <w:rPr/>
        <w:t>Mononeuropathie</w:t>
      </w:r>
      <w:r>
        <w:rPr/>
        <w:t xml:space="preserve"> (60-74%)</w:t>
      </w:r>
    </w:p>
    <w:p>
      <w:pPr>
        <w:numPr>
          <w:ilvl w:val="0"/>
          <w:numId w:val="31"/>
        </w:numPr>
      </w:pPr>
      <w:r>
        <w:rPr/>
        <w:t>Livedo, nodules sous-cutanés</w:t>
      </w:r>
    </w:p>
    <w:p>
      <w:pPr>
        <w:numPr>
          <w:ilvl w:val="0"/>
          <w:numId w:val="31"/>
        </w:numPr>
      </w:pPr>
      <w:r>
        <w:rPr/>
        <w:t>Colite ischémique, ulcération du tube digestif</w:t>
      </w:r>
    </w:p>
    <w:p>
      <w:pPr>
        <w:numPr>
          <w:ilvl w:val="0"/>
          <w:numId w:val="31"/>
        </w:numPr>
      </w:pPr>
      <w:r>
        <w:rPr/>
        <w:t>Douleur testiculaire</w:t>
      </w:r>
    </w:p>
    <w:p>
      <w:pPr>
        <w:numPr>
          <w:ilvl w:val="0"/>
          <w:numId w:val="31"/>
        </w:numPr>
      </w:pPr>
      <w:r>
        <w:rPr/>
        <w:t>HTA, infarctus rénaux, ruptures d’anévrysmes</w:t>
      </w:r>
    </w:p>
    <w:p>
      <w:pPr>
        <w:numPr>
          <w:ilvl w:val="0"/>
          <w:numId w:val="31"/>
        </w:numPr>
      </w:pPr>
      <w:r>
        <w:rPr/>
        <w:t>SCA, tachycardie, péricardite, insuffisance cardiaque</w:t>
      </w:r>
    </w:p>
    <w:p>
      <w:pPr>
        <w:pStyle w:val="Heading3"/>
      </w:pPr>
      <w:r>
        <w:rPr/>
        <w:t>SIGNES PARACLINIQUES</w:t>
      </w:r>
    </w:p>
    <w:p>
      <w:pPr>
        <w:numPr>
          <w:ilvl w:val="0"/>
          <w:numId w:val="32"/>
        </w:numPr>
      </w:pPr>
      <w:r>
        <w:rPr/>
        <w:t>Biologie : syndrome inflammatoire, sans éosinophilie, ANCA (-)</w:t>
      </w:r>
    </w:p>
    <w:p>
      <w:pPr>
        <w:numPr>
          <w:ilvl w:val="0"/>
          <w:numId w:val="32"/>
        </w:numPr>
      </w:pPr>
      <w:r>
        <w:rPr/>
        <w:t>Biopsies (PBR contre-indiquée) : vascularites</w:t>
      </w:r>
    </w:p>
    <w:p>
      <w:pPr>
        <w:numPr>
          <w:ilvl w:val="0"/>
          <w:numId w:val="32"/>
        </w:numPr>
      </w:pPr>
      <w:r>
        <w:rPr/>
        <w:t>Imageries : microanévrysmes viscéraux des vaisseaux de moyen calibre et bifurcation +/- sténoses</w:t>
      </w:r>
    </w:p>
    <w:p>
      <w:pPr>
        <w:pStyle w:val="Heading2"/>
      </w:pPr>
      <w:r>
        <w:rPr/>
        <w:t>DIAGNOSTICS</w:t>
      </w:r>
    </w:p>
    <w:p>
      <w:pPr>
        <w:pStyle w:val="Heading3"/>
      </w:pPr>
      <w:r>
        <w:rPr/>
        <w:t>Diagnostic positif</w:t>
      </w:r>
    </w:p>
    <w:p>
      <w:pPr>
        <w:numPr>
          <w:ilvl w:val="0"/>
          <w:numId w:val="33"/>
        </w:numPr>
      </w:pPr>
      <w:r>
        <w:rPr/>
        <w:t xml:space="preserve">Arguments </w:t>
      </w:r>
      <w:r>
        <w:rPr/>
        <w:t>clinico</w:t>
      </w:r>
      <w:r>
        <w:rPr/>
        <w:t>-biologiques et morphologiques</w:t>
      </w:r>
    </w:p>
    <w:p>
      <w:pPr>
        <w:numPr>
          <w:ilvl w:val="1"/>
          <w:numId w:val="33"/>
        </w:numPr>
      </w:pPr>
      <w:r>
        <w:rPr/>
        <w:t>Absence d’éosinophilie</w:t>
      </w:r>
    </w:p>
    <w:p>
      <w:pPr>
        <w:numPr>
          <w:ilvl w:val="1"/>
          <w:numId w:val="33"/>
        </w:numPr>
      </w:pPr>
      <w:r>
        <w:rPr/>
        <w:t>ANCA (-)</w:t>
      </w:r>
    </w:p>
    <w:p>
      <w:pPr>
        <w:numPr>
          <w:ilvl w:val="1"/>
          <w:numId w:val="33"/>
        </w:numPr>
      </w:pPr>
      <w:r>
        <w:rPr/>
        <w:t>Signes typiques à l’imagerie</w:t>
      </w:r>
    </w:p>
    <w:p>
      <w:pPr>
        <w:numPr>
          <w:ilvl w:val="0"/>
          <w:numId w:val="33"/>
        </w:numPr>
      </w:pPr>
      <w:r>
        <w:rPr/>
        <w:t>Parfois histologie</w:t>
      </w:r>
    </w:p>
    <w:p>
      <w:pPr>
        <w:pStyle w:val="Heading2"/>
      </w:pPr>
      <w:r>
        <w:rPr/>
        <w:t>TRAITEMENT</w:t>
      </w:r>
    </w:p>
    <w:p>
      <w:pPr>
        <w:numPr>
          <w:ilvl w:val="0"/>
          <w:numId w:val="34"/>
        </w:numPr>
      </w:pPr>
      <w:r>
        <w:rPr/>
        <w:t>Corticothérapie +/- immunosuppresseur</w:t>
      </w:r>
    </w:p>
    <w:p>
      <w:pPr>
        <w:numPr>
          <w:ilvl w:val="0"/>
          <w:numId w:val="34"/>
        </w:numPr>
      </w:pPr>
      <w:r>
        <w:rPr/>
        <w:t>Traitement de l’hépatite B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