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 xml:space="preserve">REIN ET MEDICAMENTS </w:t>
      </w:r>
      <w:r>
        <w:rPr/>
        <w:br/>
      </w:r>
      <w:r>
        <w:rPr/>
        <w:t>(Cours de thérapeutique néphrologique)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5"/>
        </w:numPr>
      </w:pPr>
      <w:r>
        <w:rPr/>
        <w:t>Identifier les principaux médicaments néphrotoxiques et les mécanismes de leur toxicité</w:t>
      </w:r>
    </w:p>
    <w:p>
      <w:pPr>
        <w:numPr>
          <w:ilvl w:val="0"/>
          <w:numId w:val="5"/>
        </w:numPr>
      </w:pPr>
      <w:r>
        <w:rPr/>
        <w:t>Diagnostiquer une atteinte rénale médicamenteuse (</w:t>
      </w:r>
      <w:r>
        <w:rPr>
          <w:i/>
        </w:rPr>
        <w:t>imputabilité)</w:t>
      </w:r>
    </w:p>
    <w:p>
      <w:pPr>
        <w:numPr>
          <w:ilvl w:val="0"/>
          <w:numId w:val="5"/>
        </w:numPr>
      </w:pPr>
      <w:r>
        <w:rPr/>
        <w:t>Argumenter les principes du traitement préventif</w:t>
      </w:r>
    </w:p>
    <w:p>
      <w:pPr>
        <w:numPr>
          <w:ilvl w:val="0"/>
          <w:numId w:val="5"/>
        </w:numPr>
      </w:pPr>
      <w:r>
        <w:rPr/>
        <w:t>Décrire et prévenir les effets secondaires(</w:t>
      </w:r>
      <w:r>
        <w:rPr>
          <w:i/>
        </w:rPr>
        <w:t>indésirables)</w:t>
      </w:r>
      <w:r>
        <w:rPr/>
        <w:t xml:space="preserve"> rénaux des IEC, ARA2, AINS, PC Iodés</w:t>
      </w:r>
    </w:p>
    <w:p>
      <w:pPr>
        <w:numPr>
          <w:ilvl w:val="0"/>
          <w:numId w:val="5"/>
        </w:numPr>
      </w:pPr>
      <w:r>
        <w:rPr/>
        <w:t>Prescrire les AINS, les IEC et ARA2</w:t>
      </w:r>
    </w:p>
    <w:p>
      <w:pPr>
        <w:spacing w:line="360" w:lineRule="auto"/>
        <w:numPr>
          <w:ilvl w:val="0"/>
          <w:numId w:val="5"/>
        </w:numPr>
      </w:pPr>
      <w:r>
        <w:rPr/>
        <w:t>Appliquer les règles de prescription sur IRC</w:t>
      </w:r>
      <w:r>
        <w:rPr/>
        <w:t xml:space="preserve"> </w:t>
      </w:r>
      <w:r>
        <w:rPr/>
        <w:t>(</w:t>
      </w:r>
      <w:r>
        <w:rPr>
          <w:i/>
        </w:rPr>
        <w:t>IRC = syndrome qui commence au stade 2 de la MRC)</w:t>
      </w: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PHYSIOPATHOLOGIE</w:t>
      </w:r>
    </w:p>
    <w:p>
      <w:pPr>
        <w:numPr>
          <w:ilvl w:val="0"/>
          <w:numId w:val="6"/>
        </w:numPr>
      </w:pPr>
      <w:r>
        <w:rPr/>
        <w:t>Principaux mécanismes (</w:t>
      </w:r>
      <w:r>
        <w:rPr/>
        <w:t>cf</w:t>
      </w:r>
      <w:r>
        <w:rPr/>
        <w:t xml:space="preserve"> tableaux I, II, III)</w:t>
      </w:r>
    </w:p>
    <w:p>
      <w:pPr>
        <w:numPr>
          <w:ilvl w:val="1"/>
          <w:numId w:val="6"/>
        </w:numPr>
      </w:pPr>
      <w:r>
        <w:rPr/>
        <w:t xml:space="preserve">Plusieurs mécanismes </w:t>
      </w:r>
      <w:r>
        <w:rPr>
          <w:i/>
        </w:rPr>
        <w:t>possibles</w:t>
      </w:r>
      <w:r>
        <w:rPr>
          <w:i/>
        </w:rPr>
        <w:t xml:space="preserve"> </w:t>
      </w:r>
      <w:r>
        <w:rPr/>
        <w:t>par un même médicament</w:t>
      </w:r>
    </w:p>
    <w:p>
      <w:pPr>
        <w:numPr>
          <w:ilvl w:val="1"/>
          <w:numId w:val="6"/>
        </w:numPr>
      </w:pPr>
      <w:r>
        <w:rPr/>
        <w:t>Peut-être deux types : toxicité aiguë et chronique</w:t>
      </w:r>
    </w:p>
    <w:p>
      <w:pPr>
        <w:numPr>
          <w:ilvl w:val="1"/>
          <w:numId w:val="6"/>
        </w:numPr>
      </w:pPr>
      <w:r>
        <w:rPr>
          <w:i/>
        </w:rPr>
        <w:t>Tout médicament est à potentiel néphrotoxique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40"/>
          </w:tcPr>
          <w:p/>
          <w:p>
            <w:pPr/>
            <w:r>
              <w:rPr/>
              <w:t>Mécanisme</w:t>
            </w:r>
          </w:p>
        </w:tc>
        <w:tc>
          <w:tcPr>
            <w:tcW w:type="dxa" w:w="2840"/>
          </w:tcPr>
          <w:p/>
          <w:p>
            <w:pPr/>
            <w:r>
              <w:rPr/>
              <w:t>Atteinte</w:t>
            </w:r>
          </w:p>
        </w:tc>
        <w:tc>
          <w:tcPr>
            <w:tcW w:type="dxa" w:w="2840"/>
          </w:tcPr>
          <w:p/>
          <w:p>
            <w:pPr/>
            <w:r>
              <w:rPr/>
              <w:t>Exemple de médicaments</w:t>
            </w:r>
          </w:p>
        </w:tc>
      </w:tr>
      <w:tr>
        <w:tc>
          <w:tcPr>
            <w:tcW w:type="dxa" w:w="2840"/>
          </w:tcPr>
          <w:p/>
          <w:p>
            <w:pPr/>
            <w:r>
              <w:rPr/>
              <w:t>Hypoperfusion rénale : IR fonctionnelle</w:t>
            </w:r>
          </w:p>
        </w:tc>
        <w:tc>
          <w:tcPr>
            <w:tcW w:type="dxa" w:w="2840"/>
          </w:tcPr>
          <w:p/>
          <w:p>
            <w:pPr/>
            <w:r>
              <w:rPr/>
              <w:t>Vasculaire (hémodynamique)</w:t>
            </w:r>
          </w:p>
        </w:tc>
        <w:tc>
          <w:tcPr>
            <w:tcW w:type="dxa" w:w="2840"/>
          </w:tcPr>
          <w:p/>
          <w:p>
            <w:pPr/>
            <w:r>
              <w:rPr/>
              <w:t>AINS, IEC, ARA 2</w:t>
            </w:r>
            <w:r>
              <w:rPr/>
              <w:br/>
              <w:t>Ciclosporine, Tacrolimus</w:t>
            </w:r>
          </w:p>
        </w:tc>
      </w:tr>
    </w:tbl>
    <w:p>
      <w:pPr>
        <w:numPr>
          <w:ilvl w:val="0"/>
          <w:numId w:val="6"/>
        </w:numPr>
      </w:pPr>
      <w:r>
        <w:rPr/>
        <w:t>Baisse du DFG voire PFG : vasoconstriction afférente ou vasodilatation efférente</w:t>
      </w:r>
    </w:p>
    <w:p>
      <w:pPr>
        <w:numPr>
          <w:ilvl w:val="1"/>
          <w:numId w:val="6"/>
        </w:numPr>
      </w:pPr>
      <w:r>
        <w:rPr/>
        <w:t>AINS : Blocage Cox 1 ou 2, -&gt; inhibe prostaglandine -&gt; prédominance des vasoconstricteurs</w:t>
      </w:r>
    </w:p>
    <w:p>
      <w:pPr>
        <w:numPr>
          <w:ilvl w:val="1"/>
          <w:numId w:val="6"/>
        </w:numPr>
      </w:pPr>
      <w:r>
        <w:rPr/>
        <w:t>IEC : blocage SRAA</w:t>
      </w:r>
      <w:r>
        <w:rPr/>
        <w:t xml:space="preserve"> </w:t>
      </w:r>
      <w:r>
        <w:rPr/>
        <w:t>(qui permet une certaine vasoconstriction artère efférente) -&gt; vasodilatation (15mn)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40"/>
          </w:tcPr>
          <w:p/>
          <w:p>
            <w:pPr/>
            <w:r>
              <w:rPr/>
              <w:t>Mécanismes</w:t>
            </w:r>
          </w:p>
        </w:tc>
        <w:tc>
          <w:tcPr>
            <w:tcW w:type="dxa" w:w="2840"/>
          </w:tcPr>
          <w:p/>
          <w:p>
            <w:pPr/>
            <w:r>
              <w:rPr/>
              <w:t>Atteinte</w:t>
            </w:r>
          </w:p>
        </w:tc>
        <w:tc>
          <w:tcPr>
            <w:tcW w:type="dxa" w:w="2840"/>
          </w:tcPr>
          <w:p/>
          <w:p>
            <w:pPr/>
            <w:r>
              <w:rPr/>
              <w:t>Ex de médicaments</w:t>
            </w:r>
          </w:p>
        </w:tc>
      </w:tr>
      <w:tr>
        <w:tc>
          <w:tcPr>
            <w:tcW w:type="dxa" w:w="2840"/>
          </w:tcPr>
          <w:p/>
          <w:p>
            <w:pPr/>
          </w:p>
        </w:tc>
        <w:tc>
          <w:tcPr>
            <w:tcW w:type="dxa" w:w="2840"/>
          </w:tcPr>
          <w:p/>
          <w:p>
            <w:pPr/>
            <w:r>
              <w:rPr/>
              <w:t xml:space="preserve">Tubulaire directe (tubule = </w:t>
            </w:r>
            <w:r>
              <w:rPr>
                <w:i/>
              </w:rPr>
              <w:t>une seule couche d’épithélium)</w:t>
            </w:r>
          </w:p>
        </w:tc>
        <w:tc>
          <w:tcPr>
            <w:tcW w:type="dxa" w:w="2840"/>
          </w:tcPr>
          <w:p/>
          <w:p>
            <w:pPr/>
            <w:r>
              <w:rPr/>
              <w:t xml:space="preserve">Aminosides, PCI, </w:t>
            </w:r>
            <w:r>
              <w:rPr/>
              <w:t>Dextran</w:t>
            </w:r>
            <w:r>
              <w:rPr/>
              <w:t xml:space="preserve">, Cisplatine, </w:t>
            </w:r>
            <w:r>
              <w:rPr/>
              <w:t>Ifosfamide</w:t>
            </w:r>
            <w:r>
              <w:rPr/>
              <w:t xml:space="preserve">, Tacrolimus, </w:t>
            </w:r>
            <w:r>
              <w:rPr/>
              <w:t>Ig</w:t>
            </w:r>
            <w:r>
              <w:rPr/>
              <w:t xml:space="preserve"> </w:t>
            </w:r>
            <w:r>
              <w:rPr/>
              <w:t>IntraVeineuse</w:t>
            </w:r>
            <w:r>
              <w:rPr/>
              <w:t>, ciclosporine</w:t>
            </w:r>
          </w:p>
        </w:tc>
      </w:tr>
      <w:tr>
        <w:tc>
          <w:tcPr>
            <w:tcW w:type="dxa" w:w="2840"/>
          </w:tcPr>
          <w:p/>
          <w:p>
            <w:pPr/>
            <w:r>
              <w:rPr/>
              <w:t>Toxicité</w:t>
            </w:r>
          </w:p>
        </w:tc>
        <w:tc>
          <w:tcPr>
            <w:tcW w:type="dxa" w:w="2840"/>
          </w:tcPr>
          <w:p/>
          <w:p>
            <w:pPr/>
            <w:r>
              <w:rPr/>
              <w:t>Toxicité tubulaire indirecte</w:t>
            </w:r>
          </w:p>
          <w:p>
            <w:pPr>
              <w:numPr>
                <w:ilvl w:val="0"/>
                <w:numId w:val="7"/>
              </w:numPr>
            </w:pPr>
            <w:r>
              <w:rPr/>
              <w:t>Par rhabdomyolyse</w:t>
            </w:r>
          </w:p>
          <w:p>
            <w:pPr>
              <w:numPr>
                <w:ilvl w:val="0"/>
                <w:numId w:val="7"/>
              </w:numPr>
            </w:pPr>
            <w:r>
              <w:rPr/>
              <w:t>Par hémolyse</w:t>
            </w:r>
          </w:p>
          <w:p>
            <w:pPr>
              <w:numPr>
                <w:ilvl w:val="0"/>
                <w:numId w:val="7"/>
              </w:numPr>
            </w:pPr>
            <w:r>
              <w:rPr/>
              <w:t xml:space="preserve">Par </w:t>
            </w:r>
            <w:r>
              <w:rPr/>
              <w:t>cristallurie</w:t>
            </w:r>
          </w:p>
        </w:tc>
        <w:tc>
          <w:tcPr>
            <w:tcW w:type="dxa" w:w="2840"/>
          </w:tcPr>
          <w:p/>
          <w:p>
            <w:pPr>
              <w:numPr>
                <w:ilvl w:val="0"/>
                <w:numId w:val="8"/>
              </w:numPr>
            </w:pPr>
            <w:r>
              <w:rPr/>
              <w:br/>
              <w:t>Fibrates, Statines,</w:t>
            </w:r>
          </w:p>
          <w:p>
            <w:pPr>
              <w:numPr>
                <w:ilvl w:val="0"/>
                <w:numId w:val="8"/>
              </w:numPr>
            </w:pPr>
            <w:r>
              <w:rPr/>
              <w:t>Quinine, Rifampicine,</w:t>
            </w:r>
          </w:p>
          <w:p>
            <w:pPr>
              <w:numPr>
                <w:ilvl w:val="0"/>
                <w:numId w:val="8"/>
              </w:numPr>
            </w:pPr>
            <w:r>
              <w:rPr/>
              <w:t xml:space="preserve">Méthotrexate, Aciclovir, </w:t>
            </w:r>
            <w:r>
              <w:rPr/>
              <w:t>Foscarnet</w:t>
            </w:r>
            <w:r>
              <w:rPr/>
              <w:t xml:space="preserve">, </w:t>
            </w:r>
            <w:r>
              <w:rPr/>
              <w:t>Indinavir</w:t>
            </w:r>
            <w:r>
              <w:rPr/>
              <w:t>, Sulfonamide</w:t>
            </w:r>
          </w:p>
        </w:tc>
      </w:tr>
      <w:tr>
        <w:tc>
          <w:tcPr>
            <w:tcW w:type="dxa" w:w="2840"/>
          </w:tcPr>
          <w:p/>
          <w:p>
            <w:pPr/>
          </w:p>
        </w:tc>
        <w:tc>
          <w:tcPr>
            <w:tcW w:type="dxa" w:w="2840"/>
          </w:tcPr>
          <w:p/>
          <w:p>
            <w:pPr/>
            <w:r>
              <w:rPr/>
              <w:t xml:space="preserve">Toxicité </w:t>
            </w:r>
            <w:r>
              <w:rPr/>
              <w:t>tubulo</w:t>
            </w:r>
            <w:r>
              <w:rPr/>
              <w:t>-</w:t>
            </w:r>
            <w:r>
              <w:rPr/>
              <w:t>interstitielle (</w:t>
            </w:r>
            <w:r>
              <w:rPr>
                <w:i/>
              </w:rPr>
              <w:t>en général, toxicité chronique)</w:t>
            </w:r>
          </w:p>
        </w:tc>
        <w:tc>
          <w:tcPr>
            <w:tcW w:type="dxa" w:w="2840"/>
          </w:tcPr>
          <w:p/>
          <w:p>
            <w:pPr/>
            <w:r>
              <w:rPr/>
              <w:t xml:space="preserve">Lithium, </w:t>
            </w:r>
            <w:r>
              <w:rPr/>
              <w:t>Tenofovir</w:t>
            </w:r>
          </w:p>
        </w:tc>
      </w:tr>
      <w:tr>
        <w:tc>
          <w:tcPr>
            <w:tcW w:type="dxa" w:w="2840"/>
          </w:tcPr>
          <w:p/>
          <w:p>
            <w:pPr/>
            <w:r>
              <w:rPr/>
              <w:t>Immuno-allergique</w:t>
            </w:r>
          </w:p>
        </w:tc>
        <w:tc>
          <w:tcPr>
            <w:tcW w:type="dxa" w:w="2840"/>
          </w:tcPr>
          <w:p/>
          <w:p>
            <w:pPr/>
            <w:r>
              <w:rPr/>
              <w:t>Tubulo</w:t>
            </w:r>
            <w:r>
              <w:rPr/>
              <w:t>-interstitielle</w:t>
            </w:r>
          </w:p>
        </w:tc>
        <w:tc>
          <w:tcPr>
            <w:tcW w:type="dxa" w:w="2840"/>
          </w:tcPr>
          <w:p/>
          <w:p>
            <w:pPr/>
            <w:r>
              <w:rPr/>
              <w:t xml:space="preserve">AINS, beta-lactamines, </w:t>
            </w:r>
          </w:p>
          <w:p>
            <w:pPr/>
            <w:r>
              <w:rPr/>
              <w:t>Rifampicine, Cimétidine</w:t>
            </w:r>
          </w:p>
          <w:p>
            <w:pPr/>
            <w:r>
              <w:rPr/>
              <w:t>Ciprofloxacine,</w:t>
            </w:r>
          </w:p>
          <w:p>
            <w:pPr/>
            <w:r>
              <w:rPr/>
              <w:t>Diurétiques, Allopurinol</w:t>
            </w:r>
          </w:p>
          <w:p>
            <w:pPr/>
            <w:r>
              <w:rPr/>
              <w:t>IPP</w:t>
            </w:r>
          </w:p>
        </w:tc>
      </w:tr>
      <w:tr>
        <w:tc>
          <w:tcPr>
            <w:tcW w:type="dxa" w:w="2840"/>
          </w:tcPr>
          <w:p/>
          <w:p>
            <w:pPr/>
          </w:p>
        </w:tc>
        <w:tc>
          <w:tcPr>
            <w:tcW w:type="dxa" w:w="2840"/>
          </w:tcPr>
          <w:p/>
          <w:p>
            <w:pPr/>
            <w:r>
              <w:rPr/>
              <w:t>Glomérulaire</w:t>
            </w:r>
          </w:p>
        </w:tc>
        <w:tc>
          <w:tcPr>
            <w:tcW w:type="dxa" w:w="2840"/>
          </w:tcPr>
          <w:p/>
          <w:p>
            <w:pPr/>
            <w:r>
              <w:rPr/>
              <w:t>AINS, D-pénicillamine, Interféron, sels d’or</w:t>
            </w:r>
          </w:p>
        </w:tc>
      </w:tr>
      <w:tr>
        <w:tc>
          <w:tcPr>
            <w:tcW w:type="dxa" w:w="2840"/>
          </w:tcPr>
          <w:p/>
          <w:p>
            <w:pPr/>
            <w:r>
              <w:rPr/>
              <w:t>Microangiopathie thrombotique</w:t>
            </w:r>
          </w:p>
        </w:tc>
        <w:tc>
          <w:tcPr>
            <w:tcW w:type="dxa" w:w="2840"/>
          </w:tcPr>
          <w:p/>
          <w:p>
            <w:pPr/>
            <w:r>
              <w:rPr/>
              <w:t>Vasculaire</w:t>
            </w:r>
          </w:p>
        </w:tc>
        <w:tc>
          <w:tcPr>
            <w:tcW w:type="dxa" w:w="2840"/>
          </w:tcPr>
          <w:p/>
          <w:p>
            <w:pPr/>
            <w:r>
              <w:rPr/>
              <w:t xml:space="preserve">Ciclosporine, </w:t>
            </w:r>
            <w:r>
              <w:rPr/>
              <w:t>Gemcitabine</w:t>
            </w:r>
          </w:p>
          <w:p>
            <w:pPr/>
            <w:r>
              <w:rPr/>
              <w:t xml:space="preserve">Clopidogrel, mitomycine </w:t>
            </w:r>
          </w:p>
        </w:tc>
      </w:tr>
      <w:tr>
        <w:tc>
          <w:tcPr>
            <w:tcW w:type="dxa" w:w="2840"/>
          </w:tcPr>
          <w:p/>
          <w:p>
            <w:pPr/>
            <w:r>
              <w:rPr/>
              <w:t>Fibrose progressive</w:t>
            </w:r>
          </w:p>
        </w:tc>
        <w:tc>
          <w:tcPr>
            <w:tcW w:type="dxa" w:w="2840"/>
          </w:tcPr>
          <w:p/>
          <w:p>
            <w:pPr/>
            <w:r>
              <w:rPr/>
              <w:t>Fibrose rétropéritonéale (</w:t>
            </w:r>
            <w:r>
              <w:rPr>
                <w:i/>
              </w:rPr>
              <w:t xml:space="preserve">fibrose touche la graisse </w:t>
            </w:r>
            <w:r>
              <w:rPr>
                <w:i/>
              </w:rPr>
              <w:t>rétropéritanele</w:t>
            </w:r>
            <w:r>
              <w:rPr>
                <w:i/>
              </w:rPr>
              <w:t>)</w:t>
            </w:r>
          </w:p>
        </w:tc>
        <w:tc>
          <w:tcPr>
            <w:tcW w:type="dxa" w:w="2840"/>
          </w:tcPr>
          <w:p/>
          <w:p>
            <w:pPr/>
            <w:r>
              <w:rPr/>
              <w:t xml:space="preserve">Ergotamine, </w:t>
            </w:r>
            <w:r>
              <w:rPr/>
              <w:t>bêtabloqueurs</w:t>
            </w:r>
          </w:p>
          <w:p>
            <w:pPr/>
          </w:p>
        </w:tc>
      </w:tr>
    </w:tbl>
    <w:p>
      <w:pPr/>
      <w:r>
        <w:rPr/>
        <w:t xml:space="preserve"> Facteurs de risque liés à l’état du patient</w:t>
      </w:r>
    </w:p>
    <w:p>
      <w:pPr/>
      <w:r>
        <w:rPr/>
        <w:t>• Insuffisance rénale fonctionnelle (IRF)</w:t>
      </w:r>
      <w:r>
        <w:rPr/>
        <w:t xml:space="preserve"> </w:t>
      </w:r>
      <w:r>
        <w:rPr/>
        <w:t xml:space="preserve">: IC, hypovolémie </w:t>
      </w:r>
    </w:p>
    <w:p>
      <w:pPr/>
      <w:r>
        <w:rPr/>
        <w:t>(</w:t>
      </w:r>
      <w:r>
        <w:rPr/>
        <w:t>Diurétiques</w:t>
      </w:r>
      <w:r>
        <w:rPr/>
        <w:t>+++)</w:t>
      </w:r>
    </w:p>
    <w:p>
      <w:pPr/>
      <w:r>
        <w:rPr/>
        <w:t xml:space="preserve">• </w:t>
      </w:r>
      <w:r>
        <w:rPr/>
        <w:t>Autres :</w:t>
      </w:r>
      <w:r>
        <w:rPr/>
        <w:t xml:space="preserve"> (AMPI A)</w:t>
      </w:r>
    </w:p>
    <w:p>
      <w:pPr/>
      <w:r>
        <w:rPr/>
        <w:t>• Âge &gt; 60 ans</w:t>
      </w:r>
    </w:p>
    <w:p>
      <w:pPr/>
      <w:r>
        <w:rPr/>
        <w:t>• Myélome</w:t>
      </w:r>
    </w:p>
    <w:p>
      <w:pPr/>
      <w:r>
        <w:rPr/>
        <w:t>• Posologie trop forte</w:t>
      </w:r>
    </w:p>
    <w:p>
      <w:pPr/>
      <w:r>
        <w:rPr/>
        <w:t>• IRC ou néphropathie préexistante (Diabète)</w:t>
      </w:r>
    </w:p>
    <w:p>
      <w:pPr/>
      <w:r>
        <w:rPr/>
        <w:t>• Association d’autres néphrotoxiques</w:t>
      </w:r>
    </w:p>
    <w:p>
      <w:pPr>
        <w:pStyle w:val="Heading2"/>
      </w:pPr>
      <w:r>
        <w:rPr/>
        <w:t>Tableaux cliniques :</w:t>
      </w:r>
    </w:p>
    <w:p>
      <w:pPr>
        <w:pStyle w:val="Heading3"/>
        <w:numPr>
          <w:ilvl w:val="0"/>
          <w:numId w:val="9"/>
        </w:numPr>
      </w:pPr>
      <w:r>
        <w:rPr/>
        <w:t>Insuffisance rénale aiguë</w:t>
      </w:r>
    </w:p>
    <w:p>
      <w:pPr>
        <w:pStyle w:val="Heading4"/>
        <w:numPr>
          <w:ilvl w:val="1"/>
          <w:numId w:val="42"/>
        </w:numPr>
      </w:pPr>
      <w:r>
        <w:rPr/>
        <w:t>IRA hémodynamiques et fonctionnelles</w:t>
      </w:r>
    </w:p>
    <w:p>
      <w:pPr>
        <w:numPr>
          <w:ilvl w:val="2"/>
          <w:numId w:val="9"/>
        </w:numPr>
      </w:pPr>
      <w:r>
        <w:rPr/>
        <w:t>IEC, ARA 2, AINS, ciclosporine A (</w:t>
      </w:r>
      <w:r>
        <w:rPr>
          <w:i/>
        </w:rPr>
        <w:t>vasoconstriction généralisée)</w:t>
      </w:r>
    </w:p>
    <w:p>
      <w:pPr>
        <w:numPr>
          <w:ilvl w:val="2"/>
          <w:numId w:val="9"/>
        </w:numPr>
      </w:pPr>
      <w:r>
        <w:rPr/>
        <w:t>L’association augmente le risque</w:t>
      </w:r>
    </w:p>
    <w:p>
      <w:pPr>
        <w:numPr>
          <w:ilvl w:val="2"/>
          <w:numId w:val="9"/>
        </w:numPr>
      </w:pPr>
      <w:r>
        <w:rPr/>
        <w:t>CAT : arrêt de la molécule, expansion volémique(</w:t>
      </w:r>
      <w:r>
        <w:rPr>
          <w:i/>
        </w:rPr>
        <w:t>réhydratation)</w:t>
      </w:r>
    </w:p>
    <w:p>
      <w:pPr>
        <w:pStyle w:val="Heading4"/>
        <w:numPr>
          <w:ilvl w:val="1"/>
          <w:numId w:val="42"/>
        </w:numPr>
      </w:pPr>
      <w:r>
        <w:rPr/>
        <w:t xml:space="preserve">Nécrose tubulaire </w:t>
      </w:r>
      <w:r>
        <w:rPr>
          <w:i/>
        </w:rPr>
        <w:t>aiguë</w:t>
      </w:r>
      <w:r>
        <w:rPr/>
        <w:t xml:space="preserve"> toxique : LE PLUS FREQUENT </w:t>
      </w:r>
      <w:r>
        <w:rPr>
          <w:i/>
        </w:rPr>
        <w:t>et grave</w:t>
      </w:r>
    </w:p>
    <w:p>
      <w:pPr>
        <w:numPr>
          <w:ilvl w:val="2"/>
          <w:numId w:val="9"/>
        </w:numPr>
      </w:pPr>
      <w:r>
        <w:rPr/>
        <w:t>Dose dépendante</w:t>
      </w:r>
    </w:p>
    <w:p>
      <w:pPr>
        <w:numPr>
          <w:ilvl w:val="2"/>
          <w:numId w:val="9"/>
        </w:numPr>
      </w:pPr>
      <w:r>
        <w:rPr/>
        <w:t>Potentialisation par les facteurs de risque</w:t>
      </w:r>
      <w:r>
        <w:rPr/>
        <w:br/>
      </w:r>
      <w:r>
        <w:rPr/>
        <w:br/>
        <w:t xml:space="preserve">Diagnostic : </w:t>
      </w:r>
      <w:r>
        <w:rPr/>
        <w:br/>
      </w:r>
      <w:r>
        <w:rPr>
          <w:b/>
        </w:rPr>
        <w:t>Oligo</w:t>
      </w:r>
      <w:r>
        <w:rPr>
          <w:b/>
        </w:rPr>
        <w:t xml:space="preserve">-anurie </w:t>
      </w:r>
      <w:r>
        <w:rPr/>
        <w:t>en quelques jours à quelques semaines</w:t>
      </w:r>
      <w:r>
        <w:rPr/>
        <w:br/>
        <w:t>Ni protéinurie ni hématurie glomérulaire</w:t>
      </w:r>
    </w:p>
    <w:p>
      <w:pPr>
        <w:numPr>
          <w:ilvl w:val="2"/>
          <w:numId w:val="9"/>
        </w:numPr>
      </w:pPr>
      <w:r>
        <w:rPr/>
        <w:t>(</w:t>
      </w:r>
      <w:r>
        <w:rPr>
          <w:i/>
        </w:rPr>
        <w:t>Se</w:t>
      </w:r>
      <w:r>
        <w:rPr>
          <w:i/>
        </w:rPr>
        <w:t xml:space="preserve"> nécrosent, tombent et bouchent la lumière)</w:t>
      </w:r>
    </w:p>
    <w:p>
      <w:pPr>
        <w:numPr>
          <w:ilvl w:val="2"/>
          <w:numId w:val="9"/>
        </w:numPr>
      </w:pPr>
      <w:r>
        <w:rPr>
          <w:b/>
          <w:i/>
        </w:rPr>
        <w:t xml:space="preserve">CAT : </w:t>
      </w:r>
      <w:r>
        <w:rPr/>
        <w:t xml:space="preserve">arrêt de la molécule, </w:t>
      </w:r>
      <w:r>
        <w:rPr/>
        <w:t>maintien</w:t>
      </w:r>
      <w:r>
        <w:rPr/>
        <w:t xml:space="preserve"> de la volémie (</w:t>
      </w:r>
      <w:r>
        <w:rPr>
          <w:i/>
        </w:rPr>
        <w:t>difficile car anurique -&gt; risque d’OAP, déshydratation ne favorise pas la régénération des cellules tubulaires)</w:t>
      </w:r>
      <w:r>
        <w:rPr/>
        <w:br/>
        <w:t>Epuration extra-rénale (EER) si besoin</w:t>
      </w:r>
    </w:p>
    <w:p>
      <w:pPr>
        <w:pStyle w:val="Heading4"/>
        <w:numPr>
          <w:ilvl w:val="1"/>
          <w:numId w:val="42"/>
        </w:numPr>
      </w:pPr>
      <w:r>
        <w:rPr/>
        <w:t>Néphropathies</w:t>
      </w:r>
      <w:r>
        <w:rPr/>
        <w:t xml:space="preserve"> interstitielles aiguës immuno-allergiques</w:t>
      </w:r>
    </w:p>
    <w:p>
      <w:pPr>
        <w:pStyle w:val="Heading5"/>
        <w:numPr>
          <w:ilvl w:val="0"/>
          <w:numId w:val="43"/>
        </w:numPr>
      </w:pPr>
      <w:r>
        <w:rPr/>
        <w:t xml:space="preserve">Diagnostic </w:t>
      </w:r>
    </w:p>
    <w:p>
      <w:pPr>
        <w:numPr>
          <w:ilvl w:val="3"/>
          <w:numId w:val="9"/>
        </w:numPr>
      </w:pPr>
      <w:r>
        <w:rPr/>
        <w:t xml:space="preserve">Prise de médicaments réputés “allergisants” : </w:t>
      </w:r>
      <w:r>
        <w:rPr>
          <w:i/>
        </w:rPr>
        <w:t>amino</w:t>
      </w:r>
      <w:r>
        <w:rPr>
          <w:i/>
        </w:rPr>
        <w:t>-pénicilline, AINS</w:t>
      </w:r>
    </w:p>
    <w:p>
      <w:pPr>
        <w:numPr>
          <w:ilvl w:val="3"/>
          <w:numId w:val="9"/>
        </w:numPr>
      </w:pPr>
      <w:r>
        <w:rPr/>
        <w:t xml:space="preserve">Signes extra-rénaux : prurit, rash, arthralgies, cytolyse, éosinophilie, </w:t>
      </w:r>
      <w:r>
        <w:rPr>
          <w:i/>
        </w:rPr>
        <w:t>conjonctivite</w:t>
      </w:r>
    </w:p>
    <w:p>
      <w:pPr>
        <w:numPr>
          <w:ilvl w:val="3"/>
          <w:numId w:val="9"/>
        </w:numPr>
      </w:pPr>
      <w:r>
        <w:rPr/>
        <w:t>Signes rénaux :</w:t>
      </w:r>
    </w:p>
    <w:p>
      <w:pPr>
        <w:numPr>
          <w:ilvl w:val="4"/>
          <w:numId w:val="9"/>
        </w:numPr>
      </w:pPr>
      <w:r>
        <w:rPr/>
        <w:t xml:space="preserve">IR rapide (qq j ou semaines &lt; 3 semaines) , Protéinurie faible (&lt;1g/L), </w:t>
      </w:r>
      <w:r>
        <w:rPr>
          <w:b/>
        </w:rPr>
        <w:t>leucocyturie sans germe</w:t>
      </w:r>
    </w:p>
    <w:p>
      <w:pPr>
        <w:numPr>
          <w:ilvl w:val="4"/>
          <w:numId w:val="9"/>
        </w:numPr>
      </w:pPr>
      <w:r>
        <w:rPr/>
        <w:t>Eosinophilurie</w:t>
      </w:r>
      <w:r>
        <w:rPr/>
        <w:t>(</w:t>
      </w:r>
      <w:r>
        <w:rPr>
          <w:i/>
        </w:rPr>
        <w:t xml:space="preserve">après formule de la leucocyturie, rarement obtenue) </w:t>
      </w:r>
      <w:r>
        <w:rPr/>
        <w:t>(</w:t>
      </w:r>
      <w:r>
        <w:rPr>
          <w:b/>
        </w:rPr>
        <w:t>pathognomonique),</w:t>
      </w:r>
      <w:r>
        <w:rPr/>
        <w:t xml:space="preserve"> parfois hématurie</w:t>
      </w:r>
    </w:p>
    <w:p>
      <w:pPr>
        <w:numPr>
          <w:ilvl w:val="4"/>
          <w:numId w:val="9"/>
        </w:numPr>
      </w:pPr>
      <w:r>
        <w:rPr>
          <w:i/>
        </w:rPr>
        <w:t>L’inflammation</w:t>
      </w:r>
      <w:r>
        <w:rPr>
          <w:i/>
        </w:rPr>
        <w:t xml:space="preserve"> de l’interstitium laisse passer les leucocytes et GR</w:t>
      </w:r>
    </w:p>
    <w:p>
      <w:pPr>
        <w:numPr>
          <w:ilvl w:val="3"/>
          <w:numId w:val="9"/>
        </w:numPr>
      </w:pPr>
      <w:r>
        <w:rPr/>
        <w:t>Si PBR : infiltrat interstitiel riche en éosinophiles</w:t>
      </w:r>
    </w:p>
    <w:p>
      <w:pPr>
        <w:pStyle w:val="Heading5"/>
        <w:numPr>
          <w:ilvl w:val="0"/>
          <w:numId w:val="43"/>
        </w:numPr>
      </w:pPr>
      <w:r>
        <w:rPr/>
        <w:t>CAT</w:t>
      </w:r>
      <w:r>
        <w:rPr/>
        <w:t xml:space="preserve"> :</w:t>
      </w:r>
    </w:p>
    <w:p>
      <w:pPr>
        <w:numPr>
          <w:ilvl w:val="3"/>
          <w:numId w:val="9"/>
        </w:numPr>
      </w:pPr>
      <w:r>
        <w:rPr/>
        <w:t>Arrêt de la molécule</w:t>
      </w:r>
    </w:p>
    <w:p>
      <w:pPr>
        <w:numPr>
          <w:ilvl w:val="3"/>
          <w:numId w:val="9"/>
        </w:numPr>
      </w:pPr>
      <w:r>
        <w:rPr/>
        <w:t>Corticothérapie (</w:t>
      </w:r>
      <w:r>
        <w:rPr>
          <w:i/>
        </w:rPr>
        <w:t>car il y aura une autonomisation de l’inflammation si non traitée : IRT en quelques mois (3 mois)</w:t>
      </w:r>
    </w:p>
    <w:p>
      <w:pPr>
        <w:numPr>
          <w:ilvl w:val="4"/>
          <w:numId w:val="9"/>
        </w:numPr>
      </w:pPr>
      <w:r>
        <w:rPr/>
        <w:t>Non codifié : selon le cas.</w:t>
      </w:r>
    </w:p>
    <w:p>
      <w:pPr>
        <w:numPr>
          <w:ilvl w:val="3"/>
          <w:numId w:val="9"/>
        </w:numPr>
      </w:pPr>
      <w:r>
        <w:rPr/>
        <w:t xml:space="preserve">Contre-indication définitive de la classe de molécule </w:t>
      </w:r>
      <w:r>
        <w:rPr>
          <w:i/>
        </w:rPr>
        <w:t xml:space="preserve">car non dose </w:t>
      </w:r>
      <w:r>
        <w:rPr>
          <w:i/>
        </w:rPr>
        <w:t>dépendante !!</w:t>
      </w:r>
    </w:p>
    <w:p>
      <w:pPr>
        <w:pStyle w:val="Heading3"/>
        <w:numPr>
          <w:ilvl w:val="0"/>
          <w:numId w:val="9"/>
        </w:numPr>
      </w:pPr>
      <w:r>
        <w:rPr/>
        <w:t>Insuffisance</w:t>
      </w:r>
      <w:r>
        <w:rPr/>
        <w:t xml:space="preserve"> rénale chronique : </w:t>
      </w:r>
      <w:r>
        <w:rPr/>
        <w:t>IR avec syndrome urinaire pauvre</w:t>
      </w:r>
    </w:p>
    <w:p>
      <w:pPr>
        <w:pStyle w:val="Heading5"/>
        <w:numPr>
          <w:ilvl w:val="0"/>
          <w:numId w:val="43"/>
        </w:numPr>
      </w:pPr>
      <w:r>
        <w:rPr/>
        <w:t xml:space="preserve">Néphropathie du </w:t>
      </w:r>
      <w:r>
        <w:rPr/>
        <w:t>lithium</w:t>
      </w:r>
    </w:p>
    <w:p>
      <w:pPr>
        <w:numPr>
          <w:ilvl w:val="2"/>
          <w:numId w:val="9"/>
        </w:numPr>
      </w:pPr>
      <w:r>
        <w:rPr/>
        <w:t>Diabète insipide néphrogénique (</w:t>
      </w:r>
      <w:r>
        <w:rPr>
          <w:i/>
        </w:rPr>
        <w:t>reins ne répondent pas aux ADH : tubules distaux et collecteurs lésées par le lithium)</w:t>
      </w:r>
    </w:p>
    <w:p>
      <w:pPr>
        <w:numPr>
          <w:ilvl w:val="2"/>
          <w:numId w:val="9"/>
        </w:numPr>
      </w:pPr>
      <w:r>
        <w:rPr/>
        <w:t>Risque d’évolution vers IRC</w:t>
      </w:r>
    </w:p>
    <w:p>
      <w:pPr>
        <w:pStyle w:val="Heading5"/>
        <w:numPr>
          <w:ilvl w:val="0"/>
          <w:numId w:val="43"/>
        </w:numPr>
      </w:pPr>
      <w:r>
        <w:rPr/>
        <w:t xml:space="preserve">Néphropathie des </w:t>
      </w:r>
      <w:r>
        <w:rPr/>
        <w:t>analgésiques</w:t>
      </w:r>
    </w:p>
    <w:p>
      <w:pPr>
        <w:numPr>
          <w:ilvl w:val="2"/>
          <w:numId w:val="9"/>
        </w:numPr>
      </w:pPr>
      <w:r>
        <w:rPr/>
        <w:t>Tout analgésique, dose cumulée (</w:t>
      </w:r>
      <w:r>
        <w:rPr>
          <w:i/>
        </w:rPr>
        <w:t xml:space="preserve">longueur de temps de prise, années ou mois) </w:t>
      </w:r>
      <w:r>
        <w:rPr/>
        <w:t>ou en association</w:t>
      </w:r>
    </w:p>
    <w:p>
      <w:pPr>
        <w:numPr>
          <w:ilvl w:val="2"/>
          <w:numId w:val="9"/>
        </w:numPr>
      </w:pPr>
      <w:r>
        <w:rPr/>
        <w:t>Episodes de nécrose papillaire (CN</w:t>
      </w:r>
      <w:r>
        <w:rPr/>
        <w:t xml:space="preserve"> </w:t>
      </w:r>
      <w:r>
        <w:rPr/>
        <w:t>(-&gt;</w:t>
      </w:r>
      <w:r>
        <w:rPr>
          <w:i/>
        </w:rPr>
        <w:t>nécrose : chair qui tombe, bouche les voies urinaires =CN de nécrose papillaire)</w:t>
      </w:r>
      <w:r>
        <w:rPr/>
        <w:t>, hématurie)</w:t>
      </w:r>
    </w:p>
    <w:p>
      <w:pPr>
        <w:numPr>
          <w:ilvl w:val="2"/>
          <w:numId w:val="9"/>
        </w:numPr>
      </w:pPr>
      <w:r>
        <w:rPr/>
        <w:t>TDM : petits reins, contours irréguliers (</w:t>
      </w:r>
      <w:r>
        <w:rPr>
          <w:i/>
        </w:rPr>
        <w:t>reins bosselés</w:t>
      </w:r>
      <w:r>
        <w:rPr>
          <w:i/>
        </w:rPr>
        <w:t xml:space="preserve"> ou en fleur fanée car le territoire va être rétractile)</w:t>
      </w:r>
      <w:r>
        <w:rPr/>
        <w:t>, séquelles</w:t>
      </w:r>
    </w:p>
    <w:p>
      <w:pPr>
        <w:pStyle w:val="Heading5"/>
        <w:numPr>
          <w:ilvl w:val="0"/>
          <w:numId w:val="43"/>
        </w:numPr>
      </w:pPr>
      <w:r>
        <w:rPr/>
        <w:t>Néphrotoxicité chronique des anti-</w:t>
      </w:r>
      <w:r>
        <w:rPr/>
        <w:t>calcineurine</w:t>
      </w:r>
    </w:p>
    <w:p>
      <w:pPr>
        <w:pStyle w:val="Heading3"/>
        <w:numPr>
          <w:ilvl w:val="0"/>
          <w:numId w:val="9"/>
        </w:numPr>
      </w:pPr>
      <w:r>
        <w:rPr/>
        <w:t>Autres tableaux cliniques</w:t>
      </w:r>
    </w:p>
    <w:p>
      <w:pPr>
        <w:pStyle w:val="Heading5"/>
        <w:numPr>
          <w:ilvl w:val="0"/>
          <w:numId w:val="43"/>
        </w:numPr>
      </w:pPr>
      <w:r>
        <w:rPr/>
        <w:t>Atteintes glomérulaires</w:t>
      </w:r>
    </w:p>
    <w:p>
      <w:pPr>
        <w:numPr>
          <w:ilvl w:val="2"/>
          <w:numId w:val="9"/>
        </w:numPr>
      </w:pPr>
      <w:r>
        <w:rPr/>
        <w:t>Syndrome néphrotique avec LGM</w:t>
      </w:r>
    </w:p>
    <w:p>
      <w:pPr>
        <w:numPr>
          <w:ilvl w:val="3"/>
          <w:numId w:val="9"/>
        </w:numPr>
      </w:pPr>
      <w:r>
        <w:rPr/>
        <w:t>AINS, interféron</w:t>
      </w:r>
    </w:p>
    <w:p>
      <w:pPr>
        <w:numPr>
          <w:ilvl w:val="3"/>
          <w:numId w:val="9"/>
        </w:numPr>
      </w:pPr>
      <w:r>
        <w:rPr/>
        <w:t>CAT : arrêt de la molécule</w:t>
      </w:r>
    </w:p>
    <w:p>
      <w:pPr>
        <w:numPr>
          <w:ilvl w:val="3"/>
          <w:numId w:val="9"/>
        </w:numPr>
      </w:pPr>
      <w:r>
        <w:rPr/>
        <w:t>Evolution : disparition de la protéinurie en quelques jours à quelques semaines</w:t>
      </w:r>
    </w:p>
    <w:p>
      <w:pPr>
        <w:numPr>
          <w:ilvl w:val="2"/>
          <w:numId w:val="9"/>
        </w:numPr>
      </w:pPr>
      <w:r>
        <w:rPr>
          <w:i/>
        </w:rPr>
        <w:t xml:space="preserve">SN avec </w:t>
      </w:r>
      <w:r>
        <w:rPr/>
        <w:t>Glomérulonéphrite extra-membraneuse</w:t>
      </w:r>
    </w:p>
    <w:p>
      <w:pPr>
        <w:numPr>
          <w:ilvl w:val="3"/>
          <w:numId w:val="9"/>
        </w:numPr>
      </w:pPr>
      <w:r>
        <w:rPr/>
        <w:t>Sels d’or, D-pénicillamine, AINS</w:t>
      </w:r>
    </w:p>
    <w:p>
      <w:pPr>
        <w:numPr>
          <w:ilvl w:val="3"/>
          <w:numId w:val="9"/>
        </w:numPr>
      </w:pPr>
      <w:r>
        <w:rPr/>
        <w:t>CAT : arrêt de la molécule.</w:t>
      </w:r>
    </w:p>
    <w:p>
      <w:pPr>
        <w:numPr>
          <w:ilvl w:val="3"/>
          <w:numId w:val="9"/>
        </w:numPr>
      </w:pPr>
      <w:r>
        <w:rPr/>
        <w:t>Baisse de la protéinurie : lente</w:t>
      </w:r>
    </w:p>
    <w:p>
      <w:pPr>
        <w:pStyle w:val="Heading5"/>
        <w:numPr>
          <w:ilvl w:val="0"/>
          <w:numId w:val="43"/>
        </w:numPr>
      </w:pPr>
      <w:r>
        <w:rPr/>
        <w:t xml:space="preserve">Lithiases et </w:t>
      </w:r>
      <w:r>
        <w:rPr/>
        <w:t>cristallurie</w:t>
      </w:r>
    </w:p>
    <w:p>
      <w:pPr>
        <w:numPr>
          <w:ilvl w:val="2"/>
          <w:numId w:val="9"/>
        </w:numPr>
      </w:pPr>
      <w:r>
        <w:rPr/>
        <w:t>1% des lithiases : médicamenteuses</w:t>
      </w:r>
    </w:p>
    <w:p>
      <w:pPr>
        <w:numPr>
          <w:ilvl w:val="2"/>
          <w:numId w:val="9"/>
        </w:numPr>
      </w:pPr>
      <w:r>
        <w:rPr/>
        <w:t>Mécanismes</w:t>
      </w:r>
    </w:p>
    <w:p>
      <w:pPr>
        <w:numPr>
          <w:ilvl w:val="3"/>
          <w:numId w:val="9"/>
        </w:numPr>
      </w:pPr>
      <w:r>
        <w:rPr/>
        <w:t>Cristallisation du médicament (</w:t>
      </w:r>
      <w:r>
        <w:rPr>
          <w:i/>
        </w:rPr>
        <w:t>par l’acidité de l’urine ou insuffisance d’hydratation)</w:t>
      </w:r>
    </w:p>
    <w:p>
      <w:pPr>
        <w:numPr>
          <w:ilvl w:val="3"/>
          <w:numId w:val="9"/>
        </w:numPr>
      </w:pPr>
      <w:r>
        <w:rPr/>
        <w:t>Effet métabolique : vitamine D (calciurie), vitamine C (oxalurie)</w:t>
      </w:r>
    </w:p>
    <w:p>
      <w:pPr>
        <w:numPr>
          <w:ilvl w:val="3"/>
          <w:numId w:val="9"/>
        </w:numPr>
      </w:pPr>
      <w:r>
        <w:rPr>
          <w:i/>
        </w:rPr>
        <w:t xml:space="preserve">Pas d’apport de calcium quand en </w:t>
      </w:r>
      <w:r>
        <w:rPr>
          <w:i/>
        </w:rPr>
        <w:t>normo calcémie</w:t>
      </w:r>
      <w:r>
        <w:rPr>
          <w:i/>
        </w:rPr>
        <w:t xml:space="preserve"> car immédiatement éliminées dans l’urine</w:t>
      </w:r>
    </w:p>
    <w:p>
      <w:pPr>
        <w:numPr>
          <w:ilvl w:val="2"/>
          <w:numId w:val="9"/>
        </w:numPr>
      </w:pPr>
      <w:r>
        <w:rPr/>
        <w:t>CAT : arrêt de la molécule, diurèse abondante (</w:t>
      </w:r>
      <w:r>
        <w:rPr>
          <w:i/>
        </w:rPr>
        <w:t>au moins 1 verre d’eau au maximum toutes les 2 heures)</w:t>
      </w:r>
    </w:p>
    <w:p>
      <w:pPr>
        <w:pStyle w:val="Heading5"/>
        <w:numPr>
          <w:ilvl w:val="0"/>
          <w:numId w:val="43"/>
        </w:numPr>
      </w:pPr>
      <w:r>
        <w:rPr/>
        <w:t xml:space="preserve">Fibrose </w:t>
      </w:r>
      <w:r>
        <w:rPr/>
        <w:t>rétropéritonéale</w:t>
      </w:r>
      <w:r>
        <w:rPr/>
        <w:t xml:space="preserve"> (</w:t>
      </w:r>
      <w:r>
        <w:rPr>
          <w:i/>
        </w:rPr>
        <w:t xml:space="preserve">toute la graisse est </w:t>
      </w:r>
      <w:r>
        <w:rPr>
          <w:i/>
        </w:rPr>
        <w:t>sclérosée</w:t>
      </w:r>
      <w:r>
        <w:rPr>
          <w:i/>
        </w:rPr>
        <w:t xml:space="preserve"> : engaine les uretères</w:t>
      </w:r>
    </w:p>
    <w:p>
      <w:pPr>
        <w:numPr>
          <w:ilvl w:val="2"/>
          <w:numId w:val="9"/>
        </w:numPr>
      </w:pPr>
      <w:r>
        <w:rPr/>
        <w:t>Urétéro</w:t>
      </w:r>
      <w:r>
        <w:rPr/>
        <w:t>-</w:t>
      </w:r>
      <w:r>
        <w:rPr/>
        <w:t>hydro-néphrose</w:t>
      </w:r>
      <w:r>
        <w:rPr/>
        <w:t xml:space="preserve"> avec IRC par fibrose rétropéritonéale</w:t>
      </w:r>
    </w:p>
    <w:p>
      <w:pPr>
        <w:numPr>
          <w:ilvl w:val="2"/>
          <w:numId w:val="9"/>
        </w:numPr>
      </w:pPr>
      <w:r>
        <w:rPr/>
        <w:t>Secondaire à un traitement de longue durée</w:t>
      </w:r>
    </w:p>
    <w:p>
      <w:pPr>
        <w:numPr>
          <w:ilvl w:val="2"/>
          <w:numId w:val="9"/>
        </w:numPr>
      </w:pPr>
      <w:r>
        <w:rPr/>
        <w:t>Bêtabloqueur</w:t>
      </w:r>
      <w:r>
        <w:rPr/>
        <w:t>, dérivés de l’ergot de seigle, bromocriptine, etc... (</w:t>
      </w:r>
      <w:r>
        <w:rPr>
          <w:i/>
        </w:rPr>
        <w:t>Traitement</w:t>
      </w:r>
      <w:r>
        <w:rPr>
          <w:i/>
        </w:rPr>
        <w:t xml:space="preserve"> de la migraine)</w:t>
      </w:r>
    </w:p>
    <w:p>
      <w:pPr>
        <w:ind w:left="360"/>
      </w:pPr>
    </w:p>
    <w:p>
      <w:pPr>
        <w:pStyle w:val="Heading2"/>
      </w:pPr>
      <w:r>
        <w:rPr/>
        <w:t>DIAGNOSTIC POSITIF</w:t>
      </w:r>
      <w:r>
        <w:rPr/>
        <w:t xml:space="preserve"> </w:t>
      </w:r>
    </w:p>
    <w:p>
      <w:pPr/>
      <w:r>
        <w:rPr/>
        <w:t xml:space="preserve"> = IMPUTABILITE</w:t>
      </w:r>
    </w:p>
    <w:p>
      <w:pPr/>
      <w:r>
        <w:rPr/>
        <w:t>Arguments séméiologiques et chronologiques</w:t>
      </w:r>
    </w:p>
    <w:p>
      <w:pPr/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80"/>
          </w:tcPr>
          <w:p/>
          <w:p>
            <w:pPr>
              <w:jc w:val="center"/>
            </w:pP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TOXIQUE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IMMUNO-ALLERGIQUE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Relation dose/atteinte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OUI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NON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Relation administration/signes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Signes Concentration dépendants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Signes récidivent si nouvelle administration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Manifestations extra-rénales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NON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OUI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Anomalies immunologiques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NON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Eosinophilie/</w:t>
            </w:r>
            <w:r>
              <w:rPr>
                <w:b/>
              </w:rPr>
              <w:t>éosinophilurie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>
                <w:b w:val="0"/>
              </w:rPr>
              <w:t>Signes histologiques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TUBULAIRE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INTERSTITIELLE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/>
              <w:t>Evolution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Favorable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Chronicisation fréquente</w:t>
            </w:r>
          </w:p>
        </w:tc>
      </w:tr>
    </w:tbl>
    <w:p>
      <w:pPr/>
    </w:p>
    <w:p>
      <w:pPr>
        <w:pStyle w:val="Heading2"/>
      </w:pPr>
      <w:r>
        <w:rPr/>
        <w:t>PREVENTION</w:t>
      </w:r>
    </w:p>
    <w:p>
      <w:pPr/>
      <w:r>
        <w:rPr>
          <w:i/>
        </w:rPr>
        <w:t xml:space="preserve">Principe de Galien : primum non </w:t>
      </w:r>
      <w:r>
        <w:rPr>
          <w:i/>
        </w:rPr>
        <w:t>nocere</w:t>
      </w:r>
    </w:p>
    <w:p>
      <w:pPr>
        <w:numPr>
          <w:ilvl w:val="0"/>
          <w:numId w:val="10"/>
        </w:numPr>
      </w:pPr>
      <w:r>
        <w:rPr/>
        <w:t>Sujet à risque + néphrotoxique :</w:t>
      </w:r>
    </w:p>
    <w:p>
      <w:pPr>
        <w:numPr>
          <w:ilvl w:val="1"/>
          <w:numId w:val="10"/>
        </w:numPr>
      </w:pPr>
      <w:r>
        <w:rPr/>
        <w:t>Indispensable ?</w:t>
      </w:r>
      <w:r>
        <w:rPr/>
        <w:t xml:space="preserve"> Si oui :</w:t>
      </w:r>
    </w:p>
    <w:p>
      <w:pPr>
        <w:numPr>
          <w:ilvl w:val="2"/>
          <w:numId w:val="10"/>
        </w:numPr>
      </w:pPr>
      <w:r>
        <w:rPr/>
        <w:t>Surveillance stricte clinique et biologique (créatininémie et/ou protéinurie selon le type de lésion fréquemment engendrée par la molécule)</w:t>
      </w:r>
    </w:p>
    <w:p>
      <w:pPr>
        <w:numPr>
          <w:ilvl w:val="2"/>
          <w:numId w:val="10"/>
        </w:numPr>
      </w:pPr>
      <w:r>
        <w:rPr/>
        <w:t>Durée minimale</w:t>
      </w:r>
    </w:p>
    <w:p>
      <w:pPr>
        <w:numPr>
          <w:ilvl w:val="0"/>
          <w:numId w:val="10"/>
        </w:numPr>
      </w:pPr>
      <w:r>
        <w:rPr/>
        <w:t>Hydratation optimale</w:t>
      </w:r>
    </w:p>
    <w:p>
      <w:pPr>
        <w:numPr>
          <w:ilvl w:val="0"/>
          <w:numId w:val="10"/>
        </w:numPr>
      </w:pPr>
      <w:r>
        <w:rPr/>
        <w:t>Ne pas associer les néphrotoxiques</w:t>
      </w:r>
    </w:p>
    <w:p>
      <w:pPr>
        <w:numPr>
          <w:ilvl w:val="0"/>
          <w:numId w:val="10"/>
        </w:numPr>
      </w:pPr>
      <w:r>
        <w:rPr>
          <w:i/>
        </w:rPr>
        <w:t>Lire les mentions légales du médicament (</w:t>
      </w:r>
      <w:r>
        <w:rPr>
          <w:i/>
        </w:rPr>
        <w:t>vidal</w:t>
      </w:r>
      <w:r>
        <w:rPr>
          <w:i/>
        </w:rPr>
        <w:t>)</w:t>
      </w:r>
    </w:p>
    <w:p>
      <w:pPr>
        <w:numPr>
          <w:ilvl w:val="0"/>
          <w:numId w:val="10"/>
        </w:numPr>
      </w:pPr>
      <w:r>
        <w:rPr/>
        <w:t>Adapter la posologie à la fonction rénale (</w:t>
      </w:r>
      <w:r>
        <w:rPr>
          <w:i/>
        </w:rPr>
        <w:t>dose et intervalle de prise)</w:t>
      </w:r>
    </w:p>
    <w:p>
      <w:pPr>
        <w:numPr>
          <w:ilvl w:val="0"/>
          <w:numId w:val="10"/>
        </w:numPr>
      </w:pPr>
      <w:r>
        <w:rPr/>
        <w:t>Produits de contraste iodés :</w:t>
      </w:r>
    </w:p>
    <w:p>
      <w:pPr>
        <w:numPr>
          <w:ilvl w:val="1"/>
          <w:numId w:val="10"/>
        </w:numPr>
      </w:pPr>
      <w:r>
        <w:rPr/>
        <w:t xml:space="preserve">Hydratation abondante avant toute injection de PDCI : </w:t>
      </w:r>
      <w:r>
        <w:rPr/>
        <w:t>NaCl</w:t>
      </w:r>
      <w:r>
        <w:rPr/>
        <w:t xml:space="preserve"> ou Bicarbonate de sodium isotonique en perfusion à 1 ml/kg/h (</w:t>
      </w:r>
      <w:r>
        <w:rPr>
          <w:i/>
        </w:rPr>
        <w:t>diurèse normale)</w:t>
      </w:r>
      <w:r>
        <w:rPr/>
        <w:t xml:space="preserve">, </w:t>
      </w:r>
      <w:r>
        <w:rPr>
          <w:b/>
        </w:rPr>
        <w:t>12h avant et 12 h après l’injection</w:t>
      </w:r>
    </w:p>
    <w:p>
      <w:pPr>
        <w:numPr>
          <w:ilvl w:val="1"/>
          <w:numId w:val="10"/>
        </w:numPr>
      </w:pPr>
      <w:r>
        <w:rPr/>
        <w:t>Arrêt des diurétiques</w:t>
      </w:r>
    </w:p>
    <w:p>
      <w:pPr>
        <w:numPr>
          <w:ilvl w:val="1"/>
          <w:numId w:val="10"/>
        </w:numPr>
      </w:pPr>
      <w:r>
        <w:rPr/>
        <w:t>N-</w:t>
      </w:r>
      <w:r>
        <w:rPr/>
        <w:t>acétyl</w:t>
      </w:r>
      <w:r>
        <w:rPr/>
        <w:t>-cystéine (</w:t>
      </w:r>
      <w:r>
        <w:rPr>
          <w:i/>
        </w:rPr>
        <w:t>mucorégulateur</w:t>
      </w:r>
      <w:r>
        <w:rPr>
          <w:i/>
        </w:rPr>
        <w:t xml:space="preserve"> et famille de l’antidote du paracétamol)</w:t>
      </w:r>
      <w:r>
        <w:rPr/>
        <w:t xml:space="preserve"> 600 mg x 2 </w:t>
      </w:r>
      <w:r>
        <w:rPr>
          <w:b/>
        </w:rPr>
        <w:t xml:space="preserve">24h avant et 24h après l’injection </w:t>
      </w:r>
      <w:r>
        <w:rPr/>
        <w:t>(</w:t>
      </w:r>
      <w:r>
        <w:rPr>
          <w:b/>
          <w:i/>
        </w:rPr>
        <w:t>efficacité discutée)</w:t>
      </w:r>
    </w:p>
    <w:p>
      <w:pPr/>
    </w:p>
    <w:p>
      <w:pPr>
        <w:pStyle w:val="Heading3"/>
      </w:pPr>
      <w:r>
        <w:rPr/>
        <w:t>PRESCRIPTION DES IEC ET ARA2</w:t>
      </w:r>
    </w:p>
    <w:p>
      <w:pPr>
        <w:numPr>
          <w:ilvl w:val="0"/>
          <w:numId w:val="11"/>
        </w:numPr>
      </w:pPr>
      <w:r>
        <w:rPr>
          <w:i/>
        </w:rPr>
        <w:t xml:space="preserve">Contre-indication relative. </w:t>
      </w:r>
      <w:r>
        <w:rPr/>
        <w:t>Sténose des artères rénales : avantages et risque</w:t>
      </w:r>
    </w:p>
    <w:p>
      <w:pPr>
        <w:numPr>
          <w:ilvl w:val="1"/>
          <w:numId w:val="11"/>
        </w:numPr>
      </w:pPr>
      <w:r>
        <w:rPr/>
        <w:t>Contre-indiquée avant car hyper AT2 nocif pour l’autre rein : nécessite blocage pour le protéger. Or, si bloqué brusquement</w:t>
      </w:r>
    </w:p>
    <w:p>
      <w:pPr>
        <w:numPr>
          <w:ilvl w:val="0"/>
          <w:numId w:val="11"/>
        </w:numPr>
      </w:pPr>
      <w:r>
        <w:rPr/>
        <w:t xml:space="preserve">Hypoperfusion rénale : situations aiguës à risque. </w:t>
      </w:r>
    </w:p>
    <w:p>
      <w:pPr/>
    </w:p>
    <w:p>
      <w:pPr>
        <w:numPr>
          <w:ilvl w:val="0"/>
          <w:numId w:val="12"/>
        </w:numPr>
      </w:pPr>
      <w:r>
        <w:rPr>
          <w:b/>
        </w:rPr>
        <w:t>Mesures</w:t>
      </w:r>
    </w:p>
    <w:p>
      <w:pPr>
        <w:numPr>
          <w:ilvl w:val="1"/>
          <w:numId w:val="12"/>
        </w:numPr>
      </w:pPr>
      <w:r>
        <w:rPr/>
        <w:t>Pas d’introduction si hypoperfusion (déshydratation, décompensation)</w:t>
      </w:r>
    </w:p>
    <w:p>
      <w:pPr>
        <w:numPr>
          <w:ilvl w:val="2"/>
          <w:numId w:val="12"/>
        </w:numPr>
      </w:pPr>
      <w:r>
        <w:rPr>
          <w:b/>
        </w:rPr>
        <w:t>Volémie</w:t>
      </w:r>
      <w:r>
        <w:rPr/>
        <w:t xml:space="preserve"> : part du LEC en intravasculaire, en équilibre avec son contenant (vaisseau)</w:t>
      </w:r>
    </w:p>
    <w:p>
      <w:pPr>
        <w:numPr>
          <w:ilvl w:val="2"/>
          <w:numId w:val="12"/>
        </w:numPr>
      </w:pPr>
      <w:r>
        <w:rPr>
          <w:b/>
        </w:rPr>
        <w:t>Hypovolémie relative</w:t>
      </w:r>
      <w:r>
        <w:rPr/>
        <w:t xml:space="preserve"> : vasodilatation : inadaptation contenu et contenant (choc anaphylactique, infectieux)</w:t>
      </w:r>
    </w:p>
    <w:p>
      <w:pPr>
        <w:numPr>
          <w:ilvl w:val="2"/>
          <w:numId w:val="12"/>
        </w:numPr>
      </w:pPr>
      <w:r>
        <w:rPr>
          <w:b/>
        </w:rPr>
        <w:t>Hypovolémie efficace</w:t>
      </w:r>
      <w:r>
        <w:rPr/>
        <w:t xml:space="preserve"> : hypovolémie dans laquelle il y a hypervolémie</w:t>
      </w:r>
    </w:p>
    <w:p>
      <w:pPr>
        <w:numPr>
          <w:ilvl w:val="3"/>
          <w:numId w:val="12"/>
        </w:numPr>
      </w:pPr>
      <w:r>
        <w:rPr>
          <w:b/>
        </w:rPr>
        <w:t>IC</w:t>
      </w:r>
      <w:r>
        <w:rPr/>
        <w:t xml:space="preserve"> : problème de pompe -&gt; perçu par le rein et AJG -&gt; hyperstimulation de SRAA : (1h48</w:t>
      </w:r>
    </w:p>
    <w:p>
      <w:pPr>
        <w:numPr>
          <w:ilvl w:val="3"/>
          <w:numId w:val="12"/>
        </w:numPr>
      </w:pPr>
      <w:r>
        <w:rPr>
          <w:b/>
          <w:u w:val="single"/>
        </w:rPr>
        <w:t>Volémie efficace</w:t>
      </w:r>
      <w:r>
        <w:rPr/>
        <w:t xml:space="preserve"> : part de la volémie qui perfuse efficacement les organes par unité de temps (= débit cardiaque)</w:t>
      </w:r>
    </w:p>
    <w:p>
      <w:pPr>
        <w:numPr>
          <w:ilvl w:val="1"/>
          <w:numId w:val="12"/>
        </w:numPr>
      </w:pPr>
      <w:r>
        <w:rPr>
          <w:b/>
        </w:rPr>
        <w:t>Augmentation progressive de la posologie si à risque</w:t>
      </w:r>
      <w:r>
        <w:rPr/>
        <w:t xml:space="preserve"> (IC, IRC, &gt; 60 ans, diurétique)</w:t>
      </w:r>
    </w:p>
    <w:p>
      <w:pPr>
        <w:numPr>
          <w:ilvl w:val="1"/>
          <w:numId w:val="12"/>
        </w:numPr>
      </w:pPr>
      <w:r>
        <w:rPr>
          <w:b/>
        </w:rPr>
        <w:t>Eduquer le patient sur les situations nécessitant l’arrêt des prises</w:t>
      </w:r>
      <w:r>
        <w:rPr/>
        <w:t xml:space="preserve"> (</w:t>
      </w:r>
      <w:r>
        <w:rPr/>
        <w:t>auto-arrêt</w:t>
      </w:r>
      <w:r>
        <w:rPr/>
        <w:t xml:space="preserve"> </w:t>
      </w:r>
      <w:r>
        <w:rPr>
          <w:i/>
        </w:rPr>
        <w:t>en toute situation de déshydratation : diarrhée ou vomissement)</w:t>
      </w:r>
    </w:p>
    <w:p>
      <w:pPr>
        <w:pStyle w:val="Heading3"/>
      </w:pPr>
      <w:r>
        <w:rPr/>
        <w:t>PRESCRIPTION DES AINS</w:t>
      </w:r>
    </w:p>
    <w:p>
      <w:pPr>
        <w:numPr>
          <w:ilvl w:val="0"/>
          <w:numId w:val="14"/>
        </w:numPr>
      </w:pPr>
      <w:r>
        <w:rPr/>
        <w:t>Risque d’IRF quand les prostaglandines sont importantes</w:t>
      </w:r>
      <w:r>
        <w:rPr/>
        <w:t xml:space="preserve"> </w:t>
      </w:r>
      <w:r>
        <w:rPr/>
        <w:t>(</w:t>
      </w:r>
      <w:r>
        <w:rPr>
          <w:i/>
        </w:rPr>
        <w:t>jouent un rôle très important dans l’équilibre vasculaire)</w:t>
      </w:r>
      <w:r>
        <w:rPr/>
        <w:t xml:space="preserve"> &lt;- IC, STAR, Diabète, Déshydratation</w:t>
      </w:r>
    </w:p>
    <w:p>
      <w:pPr>
        <w:ind w:left="720"/>
      </w:pPr>
    </w:p>
    <w:p>
      <w:pPr>
        <w:numPr>
          <w:ilvl w:val="0"/>
          <w:numId w:val="14"/>
        </w:numPr>
      </w:pPr>
      <w:r>
        <w:rPr/>
        <w:t>Presciption</w:t>
      </w:r>
      <w:r>
        <w:rPr/>
        <w:t xml:space="preserve"> limitée dans le temps</w:t>
      </w:r>
    </w:p>
    <w:p>
      <w:pPr>
        <w:numPr>
          <w:ilvl w:val="0"/>
          <w:numId w:val="14"/>
        </w:numPr>
      </w:pPr>
      <w:r>
        <w:rPr/>
        <w:t>Pas d’association avec IEC ou ARA2, sinon surveillance stricte (AINS ferme AA, IEC et ARA ouvrent l’AE</w:t>
      </w:r>
    </w:p>
    <w:p>
      <w:pPr>
        <w:numPr>
          <w:ilvl w:val="0"/>
          <w:numId w:val="14"/>
        </w:numPr>
      </w:pPr>
      <w:r>
        <w:rPr/>
        <w:t>IRC &lt; 20 ml/mn : contre-indication</w:t>
      </w:r>
    </w:p>
    <w:p>
      <w:pPr>
        <w:numPr>
          <w:ilvl w:val="0"/>
          <w:numId w:val="14"/>
        </w:numPr>
      </w:pPr>
      <w:r>
        <w:rPr/>
        <w:t xml:space="preserve">Entre 20 et 60 ml/mn : </w:t>
      </w:r>
      <w:r>
        <w:rPr>
          <w:b/>
        </w:rPr>
        <w:t xml:space="preserve">&lt; 5 jours </w:t>
      </w:r>
      <w:r>
        <w:rPr/>
        <w:t xml:space="preserve">(+ surveillance </w:t>
      </w:r>
      <w:r>
        <w:rPr>
          <w:i/>
        </w:rPr>
        <w:t>biologique)</w:t>
      </w:r>
    </w:p>
    <w:p>
      <w:pPr>
        <w:pStyle w:val="Heading3"/>
      </w:pPr>
      <w:r>
        <w:rPr/>
        <w:t>PRESCRIPTION CHEZ LES IRC</w:t>
      </w:r>
    </w:p>
    <w:p>
      <w:pPr>
        <w:numPr>
          <w:ilvl w:val="0"/>
          <w:numId w:val="15"/>
        </w:numPr>
      </w:pPr>
      <w:r>
        <w:rPr/>
        <w:t>Beaucoup de médicaments CI selon le degré de la MRC (</w:t>
      </w:r>
      <w:r>
        <w:rPr>
          <w:i/>
        </w:rPr>
        <w:t>lire les mentions légales)</w:t>
      </w:r>
    </w:p>
    <w:p>
      <w:pPr>
        <w:numPr>
          <w:ilvl w:val="1"/>
          <w:numId w:val="15"/>
        </w:numPr>
      </w:pPr>
      <w:r>
        <w:rPr/>
        <w:t>Ex : Antidiabétiques oraux : à partir de MRC4</w:t>
      </w:r>
    </w:p>
    <w:p>
      <w:pPr>
        <w:numPr>
          <w:ilvl w:val="2"/>
          <w:numId w:val="15"/>
        </w:numPr>
      </w:pPr>
      <w:r>
        <w:rPr/>
        <w:t xml:space="preserve">Biguanides et </w:t>
      </w:r>
      <w:r>
        <w:rPr/>
        <w:t>sulfonylurés</w:t>
      </w:r>
    </w:p>
    <w:p>
      <w:pPr>
        <w:numPr>
          <w:ilvl w:val="0"/>
          <w:numId w:val="15"/>
        </w:numPr>
      </w:pPr>
      <w:r>
        <w:rPr/>
        <w:t>Adaptation de dose des médicaments à élimination rénale</w:t>
      </w:r>
    </w:p>
    <w:p>
      <w:pPr>
        <w:numPr>
          <w:ilvl w:val="0"/>
          <w:numId w:val="15"/>
        </w:numPr>
      </w:pPr>
      <w:r>
        <w:rPr/>
        <w:t>Monitorage de Concentration sérique obligatoire</w:t>
      </w:r>
    </w:p>
    <w:p>
      <w:pPr>
        <w:numPr>
          <w:ilvl w:val="1"/>
          <w:numId w:val="15"/>
        </w:numPr>
      </w:pPr>
      <w:r>
        <w:rPr/>
        <w:t>Aminosides (</w:t>
      </w:r>
      <w:r>
        <w:rPr>
          <w:i/>
        </w:rPr>
        <w:t>toujours parentérale : gentamycine, amikacine) : très néphrotoxique, mécanisme toxique (réversible à l’arrêt)</w:t>
      </w:r>
    </w:p>
    <w:p>
      <w:pPr>
        <w:numPr>
          <w:ilvl w:val="1"/>
          <w:numId w:val="15"/>
        </w:numPr>
      </w:pPr>
      <w:r>
        <w:rPr>
          <w:i/>
        </w:rPr>
        <w:t>Dosage sérique après 2 injections avant la 3ème(médico-légale)</w:t>
      </w:r>
    </w:p>
    <w:p>
      <w:pPr>
        <w:numPr>
          <w:ilvl w:val="0"/>
          <w:numId w:val="15"/>
        </w:numPr>
      </w:pPr>
      <w:r>
        <w:rPr/>
        <w:t>Médicament “STRICTEMENT INDIQUE, sinon strictement contre-indiqué”</w:t>
      </w:r>
    </w:p>
    <w:p>
      <w:pPr/>
    </w:p>
    <w:p>
      <w:pPr>
        <w:pStyle w:val="Heading2"/>
      </w:pPr>
      <w:r>
        <w:rPr/>
        <w:t>Take</w:t>
      </w:r>
      <w:r>
        <w:rPr/>
        <w:t xml:space="preserve"> home</w:t>
      </w:r>
    </w:p>
    <w:p>
      <w:pPr/>
      <w:r>
        <w:rPr/>
        <w:t>IMPUTABILITE ?</w:t>
      </w:r>
    </w:p>
    <w:p>
      <w:pPr>
        <w:numPr>
          <w:ilvl w:val="0"/>
          <w:numId w:val="16"/>
        </w:numPr>
      </w:pPr>
      <w:r>
        <w:rPr/>
        <w:t>Conditions favorisant les néphropathies !!</w:t>
      </w:r>
    </w:p>
    <w:p>
      <w:pPr>
        <w:numPr>
          <w:ilvl w:val="0"/>
          <w:numId w:val="16"/>
        </w:numPr>
      </w:pPr>
      <w:r>
        <w:rPr/>
        <w:t>NTIA le plus souvent</w:t>
      </w:r>
    </w:p>
    <w:p>
      <w:pPr>
        <w:numPr>
          <w:ilvl w:val="0"/>
          <w:numId w:val="16"/>
        </w:numPr>
      </w:pPr>
      <w:r>
        <w:rPr/>
        <w:t xml:space="preserve">Différencier </w:t>
      </w:r>
      <w:r>
        <w:rPr>
          <w:b/>
        </w:rPr>
        <w:t>toxique</w:t>
      </w:r>
      <w:r>
        <w:rPr/>
        <w:t xml:space="preserve"> et </w:t>
      </w:r>
      <w:r>
        <w:rPr>
          <w:b/>
        </w:rPr>
        <w:t>immuno-</w:t>
      </w:r>
      <w:r>
        <w:rPr>
          <w:b/>
        </w:rPr>
        <w:t>allergique !!</w:t>
      </w:r>
    </w:p>
    <w:p>
      <w:pPr>
        <w:numPr>
          <w:ilvl w:val="0"/>
          <w:numId w:val="16"/>
        </w:numPr>
      </w:pPr>
      <w:r>
        <w:rPr/>
        <w:t>PCI : prudence si terrain à risque</w:t>
      </w:r>
    </w:p>
    <w:p>
      <w:pPr>
        <w:numPr>
          <w:ilvl w:val="0"/>
          <w:numId w:val="16"/>
        </w:numPr>
      </w:pPr>
      <w:r>
        <w:rPr/>
        <w:t>Hydratation, arrêt des suspects ou imputables</w:t>
      </w:r>
    </w:p>
    <w:p>
      <w:pPr>
        <w:spacing w:after="200"/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