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SYNDROME DE GOODPASTURE</w:t>
      </w:r>
    </w:p>
    <w:p>
      <w:pPr>
        <w:pStyle w:val="Heading2"/>
      </w:pPr>
      <w:r>
        <w:rPr>
          <w:rFonts w:ascii="Times New Roman" w:hAnsi="Times New Roman"/>
        </w:rPr>
        <w:t>Objectifs :</w:t>
      </w:r>
    </w:p>
    <w:p>
      <w:pPr>
        <w:numPr>
          <w:ilvl w:val="0"/>
          <w:numId w:val="17"/>
        </w:numPr>
      </w:pPr>
      <w:r>
        <w:rPr>
          <w:rFonts w:ascii="Times New Roman" w:hAnsi="Times New Roman"/>
        </w:rPr>
        <w:t>Décrire les signes des patients</w:t>
      </w:r>
    </w:p>
    <w:p>
      <w:pPr>
        <w:numPr>
          <w:ilvl w:val="0"/>
          <w:numId w:val="17"/>
        </w:numPr>
      </w:pPr>
      <w:r>
        <w:rPr>
          <w:rFonts w:ascii="Times New Roman" w:hAnsi="Times New Roman"/>
        </w:rPr>
        <w:t>Prescrire les principaux médicaments de traitements</w:t>
      </w:r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DEFINITION</w:t>
      </w:r>
    </w:p>
    <w:p>
      <w:pPr>
        <w:numPr>
          <w:ilvl w:val="0"/>
          <w:numId w:val="18"/>
        </w:numPr>
      </w:pPr>
      <w:r>
        <w:rPr>
          <w:rFonts w:ascii="Times New Roman" w:hAnsi="Times New Roman"/>
          <w:b/>
        </w:rPr>
        <w:t>Glomérulopathie proliférative</w:t>
      </w:r>
    </w:p>
    <w:p>
      <w:pPr>
        <w:numPr>
          <w:ilvl w:val="0"/>
          <w:numId w:val="18"/>
        </w:numPr>
      </w:pPr>
      <w:r>
        <w:rPr>
          <w:rFonts w:ascii="Times New Roman" w:hAnsi="Times New Roman"/>
        </w:rPr>
        <w:t xml:space="preserve">Mais “appartiendrait aux vascularites des petits vaisseaux” </w:t>
      </w:r>
    </w:p>
    <w:p>
      <w:pPr>
        <w:numPr>
          <w:ilvl w:val="1"/>
          <w:numId w:val="18"/>
        </w:numPr>
      </w:pPr>
      <w:r>
        <w:rPr>
          <w:rFonts w:ascii="Times New Roman" w:hAnsi="Times New Roman"/>
        </w:rPr>
        <w:t>Chapel Hill 2012 Classification</w:t>
      </w:r>
    </w:p>
    <w:p>
      <w:pPr/>
    </w:p>
    <w:p>
      <w:pPr>
        <w:pStyle w:val="Heading3"/>
      </w:pPr>
      <w:r>
        <w:rPr>
          <w:rFonts w:ascii="Times New Roman" w:hAnsi="Times New Roman"/>
        </w:rPr>
        <w:t>EPIDEMIOLOGIE</w:t>
      </w:r>
    </w:p>
    <w:p>
      <w:pPr>
        <w:numPr>
          <w:ilvl w:val="0"/>
          <w:numId w:val="19"/>
        </w:numPr>
      </w:pPr>
      <w:r>
        <w:rPr>
          <w:rFonts w:ascii="Times New Roman" w:hAnsi="Times New Roman"/>
        </w:rPr>
        <w:t>Très rare (1 cas/ 1million d’habitants/</w:t>
      </w:r>
      <w:r>
        <w:rPr>
          <w:rFonts w:ascii="Times New Roman" w:hAnsi="Times New Roman"/>
        </w:rPr>
        <w:t>an)</w:t>
      </w:r>
    </w:p>
    <w:p>
      <w:pPr>
        <w:numPr>
          <w:ilvl w:val="0"/>
          <w:numId w:val="19"/>
        </w:numPr>
      </w:pPr>
      <w:r>
        <w:rPr>
          <w:rFonts w:ascii="Times New Roman" w:hAnsi="Times New Roman"/>
        </w:rPr>
        <w:t>Très brutal</w:t>
      </w:r>
    </w:p>
    <w:p>
      <w:pPr>
        <w:numPr>
          <w:ilvl w:val="0"/>
          <w:numId w:val="19"/>
        </w:numPr>
      </w:pPr>
      <w:r>
        <w:rPr>
          <w:rFonts w:ascii="Times New Roman" w:hAnsi="Times New Roman"/>
        </w:rPr>
        <w:t>Age :</w:t>
      </w:r>
      <w:r>
        <w:rPr>
          <w:rFonts w:ascii="Times New Roman" w:hAnsi="Times New Roman"/>
        </w:rPr>
        <w:t xml:space="preserve"> 20 ans ou après 60 ans</w:t>
      </w:r>
    </w:p>
    <w:p>
      <w:pPr>
        <w:numPr>
          <w:ilvl w:val="0"/>
          <w:numId w:val="19"/>
        </w:numPr>
      </w:pPr>
      <w:r>
        <w:rPr>
          <w:rFonts w:ascii="Times New Roman" w:hAnsi="Times New Roman"/>
        </w:rPr>
        <w:t>Sexe :</w:t>
      </w:r>
      <w:r>
        <w:rPr>
          <w:rFonts w:ascii="Times New Roman" w:hAnsi="Times New Roman"/>
        </w:rPr>
        <w:t xml:space="preserve"> M&gt;F (</w:t>
      </w:r>
      <w:r>
        <w:rPr>
          <w:rFonts w:ascii="Times New Roman" w:hAnsi="Times New Roman"/>
        </w:rPr>
        <w:t>2 :</w:t>
      </w:r>
      <w:r>
        <w:rPr>
          <w:rFonts w:ascii="Times New Roman" w:hAnsi="Times New Roman"/>
        </w:rPr>
        <w:t>1)</w:t>
      </w:r>
    </w:p>
    <w:p>
      <w:pPr>
        <w:numPr>
          <w:ilvl w:val="0"/>
          <w:numId w:val="19"/>
        </w:numPr>
      </w:pPr>
      <w:r>
        <w:rPr>
          <w:rFonts w:ascii="Times New Roman" w:hAnsi="Times New Roman"/>
        </w:rPr>
        <w:t>Facteur précipitant : exposition à un toxique inhalé</w:t>
      </w:r>
    </w:p>
    <w:p>
      <w:pPr>
        <w:pStyle w:val="Heading3"/>
      </w:pPr>
      <w:r>
        <w:rPr>
          <w:rFonts w:ascii="Times New Roman" w:hAnsi="Times New Roman"/>
        </w:rPr>
        <w:t>PHYSIOPATHOLOGIE</w:t>
      </w:r>
    </w:p>
    <w:p>
      <w:pPr>
        <w:numPr>
          <w:ilvl w:val="0"/>
          <w:numId w:val="20"/>
        </w:numPr>
      </w:pPr>
      <w:r>
        <w:rPr>
          <w:rFonts w:ascii="Times New Roman" w:hAnsi="Times New Roman"/>
        </w:rPr>
        <w:t xml:space="preserve">Les auto-anticorps ciblant la chaîne alpha3 du collagène IV sont les plus affins, et ils </w:t>
      </w:r>
      <w:r>
        <w:rPr>
          <w:rFonts w:ascii="Times New Roman" w:hAnsi="Times New Roman"/>
        </w:rPr>
        <w:t>reconnaissent</w:t>
      </w:r>
      <w:r>
        <w:rPr>
          <w:rFonts w:ascii="Times New Roman" w:hAnsi="Times New Roman"/>
        </w:rPr>
        <w:t xml:space="preserve"> la </w:t>
      </w:r>
      <w:r>
        <w:rPr>
          <w:rFonts w:ascii="Times New Roman" w:hAnsi="Times New Roman"/>
        </w:rPr>
        <w:t>MBG (</w:t>
      </w:r>
      <w:r>
        <w:rPr>
          <w:rFonts w:ascii="Times New Roman" w:hAnsi="Times New Roman"/>
        </w:rPr>
        <w:t>membrane basale glomérulaire) et aussi la membrane alvéolaire</w:t>
      </w:r>
    </w:p>
    <w:p>
      <w:pPr>
        <w:numPr>
          <w:ilvl w:val="0"/>
          <w:numId w:val="20"/>
        </w:num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3col4 NC1 AA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a5col4 NC1 11</w:t>
      </w:r>
    </w:p>
    <w:p>
      <w:pPr/>
    </w:p>
    <w:p>
      <w:pPr>
        <w:pStyle w:val="Heading2"/>
      </w:pPr>
      <w:r>
        <w:rPr>
          <w:rFonts w:ascii="Times New Roman" w:hAnsi="Times New Roman"/>
        </w:rPr>
        <w:t>SIGNES</w:t>
      </w:r>
    </w:p>
    <w:p>
      <w:pPr>
        <w:numPr>
          <w:ilvl w:val="0"/>
          <w:numId w:val="21"/>
        </w:numPr>
      </w:pPr>
      <w:r>
        <w:rPr>
          <w:rFonts w:ascii="Times New Roman" w:hAnsi="Times New Roman"/>
        </w:rPr>
        <w:t>Syndrome pneumo-rénal</w:t>
      </w:r>
    </w:p>
    <w:p>
      <w:pPr>
        <w:numPr>
          <w:ilvl w:val="0"/>
          <w:numId w:val="21"/>
        </w:numPr>
      </w:pPr>
      <w:r>
        <w:rPr>
          <w:rFonts w:ascii="Times New Roman" w:hAnsi="Times New Roman"/>
        </w:rPr>
        <w:t>Hémorragie intra-</w:t>
      </w:r>
      <w:r>
        <w:rPr>
          <w:rFonts w:ascii="Times New Roman" w:hAnsi="Times New Roman"/>
        </w:rPr>
        <w:t>alvéolaire (</w:t>
      </w:r>
      <w:r>
        <w:rPr>
          <w:rFonts w:ascii="Times New Roman" w:hAnsi="Times New Roman"/>
        </w:rPr>
        <w:t>50%) (Hémoptysie plus fréquente chez le fumeur)</w:t>
      </w:r>
    </w:p>
    <w:p>
      <w:pPr>
        <w:numPr>
          <w:ilvl w:val="0"/>
          <w:numId w:val="21"/>
        </w:numPr>
      </w:pPr>
      <w:r>
        <w:rPr>
          <w:rFonts w:ascii="Times New Roman" w:hAnsi="Times New Roman"/>
        </w:rPr>
        <w:t>Hématurie macroscopique</w:t>
      </w:r>
    </w:p>
    <w:p>
      <w:pPr/>
    </w:p>
    <w:p>
      <w:pPr>
        <w:pStyle w:val="Heading2"/>
      </w:pPr>
      <w:r>
        <w:rPr>
          <w:rFonts w:ascii="Times New Roman" w:hAnsi="Times New Roman"/>
        </w:rPr>
        <w:t>PARACLINIQUES</w:t>
      </w:r>
    </w:p>
    <w:p>
      <w:pPr>
        <w:numPr>
          <w:ilvl w:val="0"/>
          <w:numId w:val="22"/>
        </w:numPr>
      </w:pPr>
      <w:r>
        <w:rPr>
          <w:rFonts w:ascii="Times New Roman" w:hAnsi="Times New Roman"/>
        </w:rPr>
        <w:t>Hémorragie intra-</w:t>
      </w:r>
      <w:r>
        <w:rPr>
          <w:rFonts w:ascii="Times New Roman" w:hAnsi="Times New Roman"/>
        </w:rPr>
        <w:t>alvéolaire (</w:t>
      </w:r>
      <w:r>
        <w:rPr>
          <w:rFonts w:ascii="Times New Roman" w:hAnsi="Times New Roman"/>
        </w:rPr>
        <w:t xml:space="preserve">50%) (vue au lavage </w:t>
      </w:r>
      <w:r>
        <w:rPr>
          <w:rFonts w:ascii="Times New Roman" w:hAnsi="Times New Roman"/>
        </w:rPr>
        <w:t>bronchoalvéolaire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recherche de cellules </w:t>
      </w:r>
      <w:r>
        <w:rPr>
          <w:rFonts w:ascii="Times New Roman" w:hAnsi="Times New Roman"/>
          <w:b/>
          <w:i/>
        </w:rPr>
        <w:t>sidérophages</w:t>
      </w:r>
      <w:r>
        <w:rPr>
          <w:rFonts w:ascii="Times New Roman" w:hAnsi="Times New Roman"/>
          <w:i/>
        </w:rPr>
        <w:t xml:space="preserve"> pour confirmer la présence de sang dans les alvéoles</w:t>
      </w:r>
      <w:r>
        <w:rPr>
          <w:rFonts w:ascii="Times New Roman" w:hAnsi="Times New Roman"/>
        </w:rPr>
        <w:t>)</w:t>
      </w:r>
    </w:p>
    <w:p>
      <w:pPr>
        <w:numPr>
          <w:ilvl w:val="0"/>
          <w:numId w:val="22"/>
        </w:numPr>
      </w:pPr>
      <w:r>
        <w:rPr>
          <w:rFonts w:ascii="Times New Roman" w:hAnsi="Times New Roman"/>
        </w:rPr>
        <w:t xml:space="preserve">Protéinurie (BU) </w:t>
      </w:r>
      <w:r>
        <w:rPr>
          <w:rFonts w:ascii="Times New Roman" w:hAnsi="Times New Roman"/>
          <w:i/>
        </w:rPr>
        <w:t>variable</w:t>
      </w:r>
    </w:p>
    <w:p>
      <w:pPr>
        <w:numPr>
          <w:ilvl w:val="0"/>
          <w:numId w:val="22"/>
        </w:numPr>
      </w:pPr>
      <w:r>
        <w:rPr>
          <w:rFonts w:ascii="Times New Roman" w:hAnsi="Times New Roman"/>
        </w:rPr>
        <w:t>Hématurie</w:t>
      </w:r>
    </w:p>
    <w:p>
      <w:pPr>
        <w:numPr>
          <w:ilvl w:val="0"/>
          <w:numId w:val="22"/>
        </w:numPr>
      </w:pPr>
      <w:r>
        <w:rPr>
          <w:rFonts w:ascii="Times New Roman" w:hAnsi="Times New Roman"/>
        </w:rPr>
        <w:t>GNRP (</w:t>
      </w:r>
      <w:r>
        <w:rPr>
          <w:rFonts w:ascii="Times New Roman" w:hAnsi="Times New Roman"/>
          <w:i/>
        </w:rPr>
        <w:t xml:space="preserve">2 </w:t>
      </w:r>
      <w:r>
        <w:rPr>
          <w:rFonts w:ascii="Times New Roman" w:hAnsi="Times New Roman"/>
          <w:i/>
        </w:rPr>
        <w:t>créatininémies :</w:t>
      </w:r>
      <w:r>
        <w:rPr>
          <w:rFonts w:ascii="Times New Roman" w:hAnsi="Times New Roman"/>
          <w:i/>
        </w:rPr>
        <w:t xml:space="preserve"> montée rapide)</w:t>
      </w:r>
      <w:r>
        <w:rPr>
          <w:rFonts w:ascii="Times New Roman" w:hAnsi="Times New Roman"/>
        </w:rPr>
        <w:t xml:space="preserve"> - Insuffisance rénale aiguë </w:t>
      </w:r>
    </w:p>
    <w:p>
      <w:pPr>
        <w:numPr>
          <w:ilvl w:val="0"/>
          <w:numId w:val="22"/>
        </w:numPr>
      </w:pPr>
      <w:r>
        <w:rPr>
          <w:rFonts w:ascii="Times New Roman" w:hAnsi="Times New Roman"/>
        </w:rPr>
        <w:t>Anticorps anti-MBG (+)</w:t>
      </w:r>
    </w:p>
    <w:p>
      <w:pPr>
        <w:numPr>
          <w:ilvl w:val="0"/>
          <w:numId w:val="22"/>
        </w:numPr>
      </w:pPr>
      <w:r>
        <w:rPr>
          <w:rFonts w:ascii="Times New Roman" w:hAnsi="Times New Roman"/>
        </w:rPr>
        <w:t xml:space="preserve">25% des </w:t>
      </w:r>
      <w:r>
        <w:rPr>
          <w:rFonts w:ascii="Times New Roman" w:hAnsi="Times New Roman"/>
        </w:rPr>
        <w:t>GoodPasture</w:t>
      </w:r>
      <w:r>
        <w:rPr>
          <w:rFonts w:ascii="Times New Roman" w:hAnsi="Times New Roman"/>
        </w:rPr>
        <w:t xml:space="preserve"> ont des ANCA</w:t>
      </w:r>
    </w:p>
    <w:p>
      <w:pPr>
        <w:numPr>
          <w:ilvl w:val="0"/>
          <w:numId w:val="22"/>
        </w:numPr>
      </w:pPr>
      <w:r>
        <w:rPr>
          <w:rFonts w:ascii="Times New Roman" w:hAnsi="Times New Roman"/>
        </w:rPr>
        <w:t>M</w:t>
      </w:r>
    </w:p>
    <w:p>
      <w:pPr>
        <w:numPr>
          <w:ilvl w:val="0"/>
          <w:numId w:val="22"/>
        </w:numPr>
      </w:pPr>
      <w:r>
        <w:rPr>
          <w:rFonts w:ascii="Times New Roman" w:hAnsi="Times New Roman"/>
        </w:rPr>
        <w:t xml:space="preserve">82% ont eu des a-PR3 </w:t>
      </w:r>
      <w:r>
        <w:rPr>
          <w:rFonts w:ascii="Times New Roman" w:hAnsi="Times New Roman"/>
          <w:i/>
        </w:rPr>
        <w:t>(protéinase 3)</w:t>
      </w:r>
    </w:p>
    <w:p>
      <w:pPr>
        <w:numPr>
          <w:ilvl w:val="0"/>
          <w:numId w:val="22"/>
        </w:numPr>
      </w:pPr>
      <w:r>
        <w:rPr>
          <w:rFonts w:ascii="Times New Roman" w:hAnsi="Times New Roman"/>
        </w:rPr>
        <w:t>73% ont eu des a-</w:t>
      </w:r>
      <w:r>
        <w:rPr>
          <w:rFonts w:ascii="Times New Roman" w:hAnsi="Times New Roman"/>
        </w:rPr>
        <w:t>MPO</w:t>
      </w:r>
      <w:r>
        <w:rPr>
          <w:rFonts w:ascii="Times New Roman" w:hAnsi="Times New Roman"/>
          <w:i/>
        </w:rPr>
        <w:t xml:space="preserve"> (myélopéroxydase</w:t>
      </w:r>
      <w:r>
        <w:rPr>
          <w:rFonts w:ascii="Times New Roman" w:hAnsi="Times New Roman"/>
          <w:i/>
        </w:rPr>
        <w:t>)</w:t>
      </w:r>
    </w:p>
    <w:p>
      <w:pPr/>
    </w:p>
    <w:p>
      <w:pPr>
        <w:pStyle w:val="Heading2"/>
      </w:pPr>
      <w:r>
        <w:rPr>
          <w:rFonts w:ascii="Times New Roman" w:hAnsi="Times New Roman"/>
        </w:rPr>
        <w:t>HISTOLOGIE</w:t>
      </w:r>
    </w:p>
    <w:p>
      <w:pPr>
        <w:numPr>
          <w:ilvl w:val="0"/>
          <w:numId w:val="23"/>
        </w:numPr>
      </w:pPr>
      <w:r>
        <w:rPr>
          <w:rFonts w:ascii="Times New Roman" w:hAnsi="Times New Roman"/>
          <w:u w:val="single"/>
        </w:rPr>
        <w:t xml:space="preserve">En </w:t>
      </w:r>
      <w:r>
        <w:rPr>
          <w:rFonts w:ascii="Times New Roman" w:hAnsi="Times New Roman"/>
          <w:u w:val="single"/>
        </w:rPr>
        <w:t>optique :</w:t>
      </w:r>
      <w:r>
        <w:rPr>
          <w:rFonts w:ascii="Times New Roman" w:hAnsi="Times New Roman"/>
        </w:rPr>
        <w:t xml:space="preserve"> Prolifération </w:t>
      </w:r>
      <w:r>
        <w:rPr>
          <w:rFonts w:ascii="Times New Roman" w:hAnsi="Times New Roman"/>
        </w:rPr>
        <w:t>extracapillaire</w:t>
      </w:r>
    </w:p>
    <w:p>
      <w:pPr>
        <w:numPr>
          <w:ilvl w:val="0"/>
          <w:numId w:val="23"/>
        </w:numPr>
      </w:pPr>
      <w:r>
        <w:rPr>
          <w:rFonts w:ascii="Times New Roman" w:hAnsi="Times New Roman"/>
          <w:u w:val="single"/>
        </w:rPr>
        <w:t>En Immunofluorescence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Dépôts linéaires d’IgG</w:t>
      </w:r>
    </w:p>
    <w:p>
      <w:pPr>
        <w:numPr>
          <w:ilvl w:val="1"/>
          <w:numId w:val="23"/>
        </w:numPr>
      </w:pPr>
      <w:r>
        <w:rPr>
          <w:rFonts w:ascii="Times New Roman" w:hAnsi="Times New Roman"/>
        </w:rPr>
        <w:t>IgA</w:t>
      </w:r>
      <w:r>
        <w:rPr>
          <w:rFonts w:ascii="Times New Roman" w:hAnsi="Times New Roman"/>
        </w:rPr>
        <w:t xml:space="preserve"> le long de la MBG</w:t>
      </w:r>
    </w:p>
    <w:p>
      <w:pPr/>
    </w:p>
    <w:p>
      <w:pPr>
        <w:pStyle w:val="Heading2"/>
      </w:pPr>
      <w:r>
        <w:rPr>
          <w:rFonts w:ascii="Times New Roman" w:hAnsi="Times New Roman"/>
        </w:rPr>
        <w:t>TRAITEMENT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>Corticoïdes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Méthylprednisolone (</w:t>
      </w:r>
      <w:r>
        <w:rPr>
          <w:rFonts w:ascii="Times New Roman" w:hAnsi="Times New Roman"/>
        </w:rPr>
        <w:t>Solumedrol</w:t>
      </w:r>
      <w:r>
        <w:rPr>
          <w:rFonts w:ascii="Times New Roman" w:hAnsi="Times New Roman"/>
        </w:rPr>
        <w:t>*) 5-15 mg/kg/j, 3 jours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Puis à J4 Prednisone 1 mg/kg/j (max 60mg)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Décroissance sur 6 à 12 mois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>Cyclophosphamide per os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2-3mg/kg/j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3 mois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>Echanges plasmatiques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Jusqu’à</w:t>
      </w:r>
      <w:r>
        <w:rPr>
          <w:rFonts w:ascii="Times New Roman" w:hAnsi="Times New Roman"/>
        </w:rPr>
        <w:t xml:space="preserve"> ce que les anti-GBM soient indétectables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Max</w:t>
      </w:r>
      <w:r>
        <w:rPr>
          <w:rFonts w:ascii="Times New Roman" w:hAnsi="Times New Roman"/>
        </w:rPr>
        <w:t xml:space="preserve"> : 14 EP)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2-3 litres/séance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Compensation :</w:t>
      </w:r>
      <w:r>
        <w:rPr>
          <w:rFonts w:ascii="Times New Roman" w:hAnsi="Times New Roman"/>
        </w:rPr>
        <w:t xml:space="preserve"> </w:t>
      </w:r>
    </w:p>
    <w:p>
      <w:pPr>
        <w:numPr>
          <w:ilvl w:val="2"/>
          <w:numId w:val="24"/>
        </w:numPr>
      </w:pPr>
      <w:r>
        <w:rPr>
          <w:rFonts w:ascii="Times New Roman" w:hAnsi="Times New Roman"/>
        </w:rPr>
        <w:t xml:space="preserve">Albumine </w:t>
      </w:r>
    </w:p>
    <w:p>
      <w:pPr>
        <w:numPr>
          <w:ilvl w:val="2"/>
          <w:numId w:val="24"/>
        </w:numPr>
      </w:pPr>
      <w:r>
        <w:rPr>
          <w:rFonts w:ascii="Times New Roman" w:hAnsi="Times New Roman"/>
        </w:rPr>
        <w:t>Plasma</w:t>
      </w:r>
    </w:p>
    <w:p>
      <w:pPr>
        <w:numPr>
          <w:ilvl w:val="1"/>
          <w:numId w:val="24"/>
        </w:numPr>
      </w:pPr>
      <w:r>
        <w:rPr>
          <w:rFonts w:ascii="Times New Roman" w:hAnsi="Times New Roman"/>
        </w:rPr>
        <w:t>Hémodialyse : Azathioprine en entretien</w:t>
      </w:r>
    </w:p>
    <w:p>
      <w:pPr>
        <w:numPr>
          <w:ilvl w:val="2"/>
          <w:numId w:val="24"/>
        </w:numPr>
      </w:pPr>
      <w:r>
        <w:rPr>
          <w:rFonts w:ascii="Times New Roman" w:hAnsi="Times New Roman"/>
        </w:rPr>
        <w:t>12 mois</w:t>
      </w:r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