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HEMOLYTIQUE ET UREMIQUE (SHU)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18"/>
        </w:numPr>
      </w:pPr>
      <w:r>
        <w:rPr>
          <w:b/>
        </w:rPr>
        <w:t>Définition</w:t>
      </w:r>
      <w:r>
        <w:rPr/>
        <w:t xml:space="preserve"> : IR progressive + anémie hémolytique </w:t>
      </w:r>
      <w:r>
        <w:rPr/>
        <w:t>microangiopathie</w:t>
      </w:r>
    </w:p>
    <w:p>
      <w:pPr>
        <w:numPr>
          <w:ilvl w:val="0"/>
          <w:numId w:val="18"/>
        </w:numPr>
      </w:pPr>
      <w:r>
        <w:rPr>
          <w:b/>
        </w:rPr>
        <w:t>Intérêts</w:t>
      </w:r>
      <w:r>
        <w:rPr/>
        <w:t xml:space="preserve"> :</w:t>
      </w:r>
    </w:p>
    <w:p>
      <w:pPr>
        <w:numPr>
          <w:ilvl w:val="1"/>
          <w:numId w:val="18"/>
        </w:numPr>
      </w:pPr>
      <w:r>
        <w:rPr/>
        <w:t>SHU typique : enfant de 1 à 3 ans</w:t>
      </w:r>
    </w:p>
    <w:p>
      <w:pPr>
        <w:numPr>
          <w:ilvl w:val="1"/>
          <w:numId w:val="18"/>
        </w:numPr>
      </w:pPr>
      <w:r>
        <w:rPr/>
        <w:t>Bon pronostic rénal chez l’enfant</w:t>
      </w:r>
    </w:p>
    <w:p>
      <w:pPr>
        <w:numPr>
          <w:ilvl w:val="1"/>
          <w:numId w:val="18"/>
        </w:numPr>
      </w:pPr>
      <w:r>
        <w:rPr/>
        <w:t>Pronostic réservé chez l’adulte : mortalité 25%</w:t>
      </w:r>
      <w:r>
        <w:rPr>
          <w:i/>
        </w:rPr>
        <w:t xml:space="preserve"> (à la phase aiguë de la maladie)</w:t>
      </w:r>
      <w:r>
        <w:rPr/>
        <w:t>, IRCT 60%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19"/>
        </w:numPr>
      </w:pPr>
      <w:r>
        <w:rPr/>
        <w:t xml:space="preserve">Facteur déclenchant : </w:t>
      </w:r>
      <w:r>
        <w:rPr/>
        <w:t>shigatoxine</w:t>
      </w:r>
      <w:r>
        <w:rPr/>
        <w:t xml:space="preserve"> : Escherichia coli 0157.H7</w:t>
      </w:r>
    </w:p>
    <w:p>
      <w:pPr>
        <w:numPr>
          <w:ilvl w:val="0"/>
          <w:numId w:val="19"/>
        </w:numPr>
      </w:pPr>
      <w:r>
        <w:rPr/>
        <w:t>Lésion endothéliale et microangiopathie thrombotique</w:t>
      </w:r>
    </w:p>
    <w:p>
      <w:pPr>
        <w:numPr>
          <w:ilvl w:val="0"/>
          <w:numId w:val="19"/>
        </w:numPr>
      </w:pPr>
      <w:r>
        <w:rPr/>
        <w:t>Anémie hémolytique mécanique et thrombopénie</w:t>
      </w:r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SIGNES CLINIQUES</w:t>
      </w:r>
    </w:p>
    <w:p>
      <w:pPr>
        <w:pStyle w:val="Heading4"/>
      </w:pPr>
      <w:r>
        <w:rPr/>
        <w:t>TDD : SHU post-diarrhéique de l’enfant</w:t>
      </w:r>
    </w:p>
    <w:p>
      <w:pPr>
        <w:numPr>
          <w:ilvl w:val="0"/>
          <w:numId w:val="20"/>
        </w:numPr>
      </w:pPr>
      <w:r>
        <w:rPr/>
        <w:t>Prodromes (2-7j) : diarrhée (80%), fièvre (56%)</w:t>
      </w:r>
    </w:p>
    <w:p>
      <w:pPr>
        <w:numPr>
          <w:ilvl w:val="0"/>
          <w:numId w:val="20"/>
        </w:numPr>
      </w:pPr>
      <w:r>
        <w:rPr/>
        <w:t>IR anurique (50%)</w:t>
      </w:r>
    </w:p>
    <w:p>
      <w:pPr>
        <w:numPr>
          <w:ilvl w:val="0"/>
          <w:numId w:val="20"/>
        </w:numPr>
      </w:pPr>
      <w:r>
        <w:rPr/>
        <w:t xml:space="preserve">HTA (47 %), </w:t>
      </w:r>
      <w:r>
        <w:rPr/>
        <w:t>œdèmes</w:t>
      </w:r>
      <w:r>
        <w:rPr/>
        <w:t>, surcharge hydrosodée</w:t>
      </w:r>
    </w:p>
    <w:p>
      <w:pPr>
        <w:numPr>
          <w:ilvl w:val="0"/>
          <w:numId w:val="20"/>
        </w:numPr>
      </w:pPr>
      <w:r>
        <w:rPr/>
        <w:t>Confusion, irritabilité</w:t>
      </w:r>
    </w:p>
    <w:p>
      <w:pPr>
        <w:numPr>
          <w:ilvl w:val="0"/>
          <w:numId w:val="20"/>
        </w:numPr>
      </w:pPr>
      <w:r>
        <w:rPr/>
        <w:t>Pâleur cutanéo-muqueuse</w:t>
      </w:r>
    </w:p>
    <w:p>
      <w:pPr>
        <w:pStyle w:val="Heading4"/>
      </w:pPr>
      <w:r>
        <w:rPr/>
        <w:t>Forme clinique : SHU atypique de l’adulte</w:t>
      </w:r>
    </w:p>
    <w:p>
      <w:pPr>
        <w:numPr>
          <w:ilvl w:val="0"/>
          <w:numId w:val="21"/>
        </w:numPr>
      </w:pPr>
      <w:r>
        <w:rPr/>
        <w:t>Facteur déclenchant variable</w:t>
      </w:r>
    </w:p>
    <w:p>
      <w:pPr>
        <w:numPr>
          <w:ilvl w:val="1"/>
          <w:numId w:val="21"/>
        </w:numPr>
      </w:pPr>
      <w:r>
        <w:rPr/>
        <w:t>Infection pneumocoques, HIV</w:t>
      </w:r>
    </w:p>
    <w:p>
      <w:pPr>
        <w:numPr>
          <w:ilvl w:val="1"/>
          <w:numId w:val="21"/>
        </w:numPr>
      </w:pPr>
      <w:r>
        <w:rPr/>
        <w:t>Grossesse</w:t>
      </w:r>
    </w:p>
    <w:p>
      <w:pPr>
        <w:numPr>
          <w:ilvl w:val="1"/>
          <w:numId w:val="21"/>
        </w:numPr>
      </w:pPr>
      <w:r>
        <w:rPr/>
        <w:t xml:space="preserve">Néoplasie </w:t>
      </w:r>
    </w:p>
    <w:p>
      <w:pPr>
        <w:numPr>
          <w:ilvl w:val="1"/>
          <w:numId w:val="21"/>
        </w:numPr>
      </w:pPr>
      <w:r>
        <w:rPr/>
        <w:t>HTA maligne</w:t>
      </w:r>
    </w:p>
    <w:p>
      <w:pPr>
        <w:numPr>
          <w:ilvl w:val="1"/>
          <w:numId w:val="21"/>
        </w:numPr>
      </w:pPr>
      <w:r>
        <w:rPr/>
        <w:t>Maladies auto-immunes</w:t>
      </w:r>
    </w:p>
    <w:p>
      <w:pPr>
        <w:pStyle w:val="Heading3"/>
      </w:pPr>
      <w:r>
        <w:rPr/>
        <w:t>SIGNES PARACLINIQUES</w:t>
      </w:r>
    </w:p>
    <w:p>
      <w:pPr>
        <w:numPr>
          <w:ilvl w:val="0"/>
          <w:numId w:val="22"/>
        </w:numPr>
      </w:pPr>
      <w:r>
        <w:rPr>
          <w:b/>
        </w:rPr>
        <w:t xml:space="preserve">Anémie : </w:t>
      </w:r>
      <w:r>
        <w:rPr/>
        <w:t xml:space="preserve">normocytaire, schizocytes, réticulocytes, LDH et </w:t>
      </w:r>
      <w:r>
        <w:rPr/>
        <w:t>bilirubine élevée</w:t>
      </w:r>
    </w:p>
    <w:p>
      <w:pPr>
        <w:numPr>
          <w:ilvl w:val="0"/>
          <w:numId w:val="22"/>
        </w:numPr>
      </w:pPr>
      <w:r>
        <w:rPr>
          <w:b/>
        </w:rPr>
        <w:t>Thrombopénie</w:t>
      </w:r>
    </w:p>
    <w:p>
      <w:pPr>
        <w:numPr>
          <w:ilvl w:val="0"/>
          <w:numId w:val="22"/>
        </w:numPr>
      </w:pPr>
      <w:r>
        <w:rPr/>
        <w:t>Coproculture sur milieu agar : E. Coli 0157.H7</w:t>
      </w:r>
    </w:p>
    <w:p>
      <w:pPr>
        <w:numPr>
          <w:ilvl w:val="0"/>
          <w:numId w:val="22"/>
        </w:numPr>
      </w:pPr>
      <w:r>
        <w:rPr/>
        <w:t>Recherche de toxines dans les selles (PCR)</w:t>
      </w:r>
    </w:p>
    <w:p>
      <w:pPr>
        <w:numPr>
          <w:ilvl w:val="0"/>
          <w:numId w:val="22"/>
        </w:numPr>
      </w:pPr>
      <w:r>
        <w:rPr/>
        <w:t>Histologie : occlusion des artérioles, aspect double contour capillaire glomérulaire, gonflement des cellules endothéliales</w:t>
      </w:r>
    </w:p>
    <w:p>
      <w:pPr>
        <w:pStyle w:val="Heading2"/>
      </w:pPr>
      <w:r>
        <w:rPr/>
        <w:t>DIAGNOSTICS</w:t>
      </w:r>
    </w:p>
    <w:p>
      <w:pPr>
        <w:numPr>
          <w:ilvl w:val="0"/>
          <w:numId w:val="23"/>
        </w:numPr>
      </w:pPr>
      <w:r>
        <w:rPr>
          <w:b/>
        </w:rPr>
        <w:t>Positif</w:t>
      </w:r>
      <w:r>
        <w:rPr/>
        <w:t xml:space="preserve"> : arguments </w:t>
      </w:r>
      <w:r>
        <w:rPr/>
        <w:t>clinico</w:t>
      </w:r>
      <w:r>
        <w:rPr/>
        <w:t>-biologiques</w:t>
      </w:r>
    </w:p>
    <w:p>
      <w:pPr>
        <w:numPr>
          <w:ilvl w:val="0"/>
          <w:numId w:val="23"/>
        </w:numPr>
      </w:pPr>
      <w:r>
        <w:rPr>
          <w:b/>
        </w:rPr>
        <w:t>Différentiel</w:t>
      </w:r>
      <w:r>
        <w:rPr/>
        <w:t xml:space="preserve"> : purpura thrombotique </w:t>
      </w:r>
      <w:r>
        <w:rPr/>
        <w:t>thrombocytopénique</w:t>
      </w:r>
      <w:r>
        <w:rPr/>
        <w:t xml:space="preserve"> lié à un déficit en ADAMTS-13 (</w:t>
      </w:r>
      <w:r>
        <w:rPr>
          <w:i/>
        </w:rPr>
        <w:t>protéase)</w:t>
      </w:r>
    </w:p>
    <w:p>
      <w:pPr>
        <w:numPr>
          <w:ilvl w:val="0"/>
          <w:numId w:val="23"/>
        </w:numPr>
      </w:pPr>
      <w:r>
        <w:rPr>
          <w:b/>
        </w:rPr>
        <w:t>Etiologique</w:t>
      </w:r>
      <w:r>
        <w:rPr/>
        <w:t xml:space="preserve"> : E. Coli 0157.H7</w:t>
      </w:r>
    </w:p>
    <w:p>
      <w:pPr>
        <w:numPr>
          <w:ilvl w:val="1"/>
          <w:numId w:val="23"/>
        </w:numPr>
      </w:pPr>
      <w:r>
        <w:rPr/>
        <w:t xml:space="preserve">Bactéries : salmonella, yersinia, </w:t>
      </w:r>
      <w:r>
        <w:rPr/>
        <w:t>Campylobacter</w:t>
      </w:r>
      <w:r>
        <w:rPr/>
        <w:t xml:space="preserve">, pneumocoque, </w:t>
      </w:r>
      <w:r>
        <w:rPr/>
        <w:t>Legionella</w:t>
      </w:r>
      <w:r>
        <w:rPr/>
        <w:t xml:space="preserve">, </w:t>
      </w:r>
      <w:r>
        <w:rPr/>
        <w:t>Mycoplasma</w:t>
      </w:r>
    </w:p>
    <w:p>
      <w:pPr>
        <w:numPr>
          <w:ilvl w:val="1"/>
          <w:numId w:val="23"/>
        </w:numPr>
      </w:pPr>
      <w:r>
        <w:rPr/>
        <w:t xml:space="preserve">Virus : HIV, EBV, Herpes, </w:t>
      </w:r>
      <w:r>
        <w:rPr/>
        <w:t>Coxsachie</w:t>
      </w:r>
    </w:p>
    <w:p>
      <w:pPr>
        <w:numPr>
          <w:ilvl w:val="1"/>
          <w:numId w:val="23"/>
        </w:numPr>
      </w:pPr>
      <w:r>
        <w:rPr/>
        <w:t>Autres : aspergillose, néoplasie, grossesse, HTA maligne, greffe, médicaments</w:t>
      </w:r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numPr>
          <w:ilvl w:val="0"/>
          <w:numId w:val="24"/>
        </w:numPr>
      </w:pPr>
      <w:r>
        <w:rPr/>
        <w:t xml:space="preserve">Symptomatique : anti-HTA, hémodialyse, +/- </w:t>
      </w:r>
      <w:r>
        <w:rPr/>
        <w:t>transfusion,</w:t>
      </w:r>
      <w:r>
        <w:rPr/>
        <w:t xml:space="preserve"> +/- antibiotique</w:t>
      </w:r>
    </w:p>
    <w:p>
      <w:pPr>
        <w:numPr>
          <w:ilvl w:val="0"/>
          <w:numId w:val="24"/>
        </w:numPr>
      </w:pPr>
      <w:r>
        <w:rPr/>
        <w:t>Echange plasmatique : SHU atypique</w:t>
      </w:r>
    </w:p>
    <w:p>
      <w:pPr>
        <w:numPr>
          <w:ilvl w:val="0"/>
          <w:numId w:val="24"/>
        </w:numPr>
      </w:pPr>
      <w:r>
        <w:rPr/>
        <w:t>Ac</w:t>
      </w:r>
      <w:r>
        <w:rPr/>
        <w:t xml:space="preserve"> monoclonaux : SHU atypique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