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FRACTURE DE L’ETAGE MOYEN DE LA BASE DU CRANE</w:t>
      </w:r>
    </w:p>
    <w:p>
      <w:pPr>
        <w:pStyle w:val="Heading2"/>
      </w:pPr>
      <w:r>
        <w:rPr/>
        <w:t>Rechercher :</w:t>
      </w:r>
    </w:p>
    <w:p>
      <w:pPr>
        <w:numPr>
          <w:ilvl w:val="1"/>
          <w:numId w:val="32"/>
        </w:numPr>
      </w:pPr>
      <w:r>
        <w:rPr/>
        <w:t>Otorrhée</w:t>
      </w:r>
    </w:p>
    <w:p>
      <w:pPr>
        <w:numPr>
          <w:ilvl w:val="1"/>
          <w:numId w:val="32"/>
        </w:numPr>
      </w:pPr>
      <w:r>
        <w:rPr/>
        <w:t>Otorragie</w:t>
      </w:r>
    </w:p>
    <w:p>
      <w:pPr>
        <w:numPr>
          <w:ilvl w:val="1"/>
          <w:numId w:val="32"/>
        </w:numPr>
      </w:pPr>
      <w:r>
        <w:rPr/>
        <w:t>Ecchymose rétro-mastoïdienne</w:t>
      </w:r>
    </w:p>
    <w:p>
      <w:pPr/>
      <w:r>
        <w:rPr/>
        <w:t>Lésions neurologiques : tronc cérébral +++</w:t>
      </w:r>
    </w:p>
    <w:p>
      <w:pPr/>
      <w:r>
        <w:rPr/>
        <w:t>Syndrome du trou déchiré postérieur (paralysies des derniers nerfs crâniens)</w:t>
      </w:r>
    </w:p>
    <w:p>
      <w:pPr/>
      <w:r>
        <w:rPr/>
        <w:t>Fractures des masses latérales</w:t>
      </w:r>
    </w:p>
    <w:p>
      <w:pPr/>
      <w:r>
        <w:rPr/>
        <w:t>Cophose - baisse de l’audition, et paralysie faciale</w:t>
      </w:r>
    </w:p>
    <w:p>
      <w:pPr>
        <w:numPr>
          <w:ilvl w:val="0"/>
          <w:numId w:val="0"/>
        </w:numPr>
      </w:pPr>
    </w:p>
    <w:p>
      <w:pPr/>
      <w:r>
        <w:rPr/>
        <w:t>Risque : infection (M, méningo-encéphalite, suppurations intracrâniennes)</w:t>
      </w:r>
    </w:p>
    <w:p>
      <w:pPr/>
      <w:r>
        <w:rPr/>
        <w:t>Risque d’atteinte des paires crâniennes (VII)</w:t>
      </w:r>
    </w:p>
    <w:p>
      <w:pPr/>
      <w:r>
        <w:rPr/>
        <w:t>Paraclinique : scanner cérébral sans injection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 xml:space="preserve">Traitement </w:t>
      </w:r>
    </w:p>
    <w:p>
      <w:pPr>
        <w:numPr>
          <w:ilvl w:val="0"/>
          <w:numId w:val="0"/>
        </w:numPr>
      </w:pPr>
      <w:r>
        <w:rPr/>
        <w:t>Chirurgical</w:t>
      </w:r>
    </w:p>
    <w:p>
      <w:pPr>
        <w:numPr>
          <w:ilvl w:val="0"/>
          <w:numId w:val="0"/>
        </w:numPr>
      </w:pPr>
      <w:r>
        <w:rPr/>
        <w:t>Réparation de la brèche ostéo-durale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  <w:t>Médical</w:t>
      </w:r>
    </w:p>
    <w:p>
      <w:pPr>
        <w:numPr>
          <w:ilvl w:val="0"/>
          <w:numId w:val="0"/>
        </w:numPr>
      </w:pPr>
      <w:r>
        <w:rPr/>
        <w:t>Antalgique systématique</w:t>
      </w:r>
    </w:p>
    <w:p>
      <w:pPr>
        <w:numPr>
          <w:ilvl w:val="0"/>
          <w:numId w:val="0"/>
        </w:numPr>
      </w:pPr>
      <w:r>
        <w:rPr/>
        <w:t>Antibiothérapie à large spectre (trithérapie)</w:t>
      </w:r>
    </w:p>
    <w:p>
      <w:pPr>
        <w:numPr>
          <w:ilvl w:val="0"/>
          <w:numId w:val="0"/>
        </w:numPr>
      </w:pPr>
      <w:r>
        <w:rPr/>
        <w:t>Vaccin anti-méningococcique et anti-pneumococcique</w:t>
      </w:r>
    </w:p>
    <w:p>
      <w:pPr>
        <w:numPr>
          <w:ilvl w:val="0"/>
          <w:numId w:val="0"/>
        </w:numPr>
      </w:pPr>
      <w:r>
        <w:rPr/>
        <w:t>Pas de place d’anti-épileptique</w:t>
      </w:r>
    </w:p>
    <w:p>
      <w:pPr>
        <w:numPr>
          <w:ilvl w:val="0"/>
          <w:numId w:val="0"/>
        </w:numPr>
      </w:pPr>
      <w:r>
        <w:rPr>
          <w:b/>
        </w:rPr>
        <w:t xml:space="preserve">Mettre du Diamox (acétozelamide) : </w:t>
      </w:r>
      <w:r>
        <w:rPr/>
        <w:t>diminue la production de LCS au niveau du plexus choroïde (car existence de brèche : limite)</w:t>
      </w:r>
    </w:p>
    <w:p>
      <w:pPr>
        <w:numPr>
          <w:ilvl w:val="0"/>
          <w:numId w:val="0"/>
        </w:numPr>
      </w:pPr>
      <w:r>
        <w:rPr/>
        <w:t>Ne pas mettre le patient ni en position debout ni en position assise avant chirurgie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  <w:t>Complications</w:t>
      </w:r>
    </w:p>
    <w:p>
      <w:pPr>
        <w:numPr>
          <w:ilvl w:val="0"/>
          <w:numId w:val="0"/>
        </w:numPr>
      </w:pPr>
      <w:r>
        <w:rPr/>
        <w:t>Infection</w:t>
      </w:r>
    </w:p>
    <w:p>
      <w:pPr>
        <w:numPr>
          <w:ilvl w:val="0"/>
          <w:numId w:val="0"/>
        </w:numPr>
      </w:pPr>
      <w:r>
        <w:rPr/>
        <w:t>Lésion des paires craniennes (ant : olf et opt, moyenne : 7 et 8 : cochléo-vestibulaire et facial)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  <w:t>Scanner avec injection si patient fébrile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