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SUPPURATIONS INTRACRÂNIENNES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anatomique et topographique</w:t>
      </w:r>
    </w:p>
    <w:p>
      <w:pPr/>
      <w:r>
        <w:rPr/>
        <w:t>Collecton purulente d’origine infectieuse intra-crânienne</w:t>
      </w:r>
    </w:p>
    <w:p>
      <w:pPr>
        <w:numPr>
          <w:ilvl w:val="1"/>
          <w:numId w:val="32"/>
        </w:numPr>
      </w:pPr>
      <w:r>
        <w:rPr/>
        <w:t xml:space="preserve">Dans le parenchyme cérébral : </w:t>
      </w:r>
      <w:r>
        <w:rPr>
          <w:b/>
        </w:rPr>
        <w:t xml:space="preserve">abcès cérébral </w:t>
      </w:r>
    </w:p>
    <w:p>
      <w:pPr>
        <w:numPr>
          <w:ilvl w:val="1"/>
          <w:numId w:val="32"/>
        </w:numPr>
      </w:pPr>
      <w:r>
        <w:rPr/>
        <w:t xml:space="preserve">Au sein des espaces sous-duraux ou extra-duraux : </w:t>
      </w:r>
      <w:r>
        <w:rPr>
          <w:b/>
        </w:rPr>
        <w:t>empyèmes intracrâniens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Intérêts : triple intérêt</w:t>
      </w:r>
    </w:p>
    <w:p>
      <w:pPr>
        <w:pStyle w:val="Heading4"/>
      </w:pPr>
      <w:r>
        <w:rPr/>
        <w:t xml:space="preserve">Prévalence </w:t>
      </w:r>
      <w:r>
        <w:rPr/>
        <w:t>: pathologie rare</w:t>
      </w:r>
    </w:p>
    <w:p>
      <w:pPr>
        <w:numPr>
          <w:ilvl w:val="1"/>
          <w:numId w:val="32"/>
        </w:numPr>
      </w:pPr>
      <w:r>
        <w:rPr/>
        <w:t>Abcès : 4 à 5 cas/an/million d’habitants, 60% des suppurations intracrâniennes</w:t>
      </w:r>
      <w:r>
        <w:rPr/>
        <w:br/>
      </w:r>
    </w:p>
    <w:p>
      <w:pPr>
        <w:numPr>
          <w:ilvl w:val="1"/>
          <w:numId w:val="32"/>
        </w:numPr>
      </w:pPr>
      <w:r>
        <w:rPr/>
        <w:t>Empyèmes intracrâniens : moins de 40%</w:t>
      </w:r>
      <w:r>
        <w:rPr/>
        <w:br/>
      </w:r>
    </w:p>
    <w:p>
      <w:pPr>
        <w:pStyle w:val="Heading4"/>
      </w:pPr>
      <w:r>
        <w:rPr/>
        <w:t>Urgence :</w:t>
      </w:r>
    </w:p>
    <w:p>
      <w:pPr>
        <w:numPr>
          <w:ilvl w:val="1"/>
          <w:numId w:val="32"/>
        </w:numPr>
      </w:pPr>
      <w:r>
        <w:rPr/>
        <w:t>Évolution très rapide, engage à court terme le pronostic vital et le pronostic fonctionnel</w:t>
      </w:r>
    </w:p>
    <w:p>
      <w:pPr>
        <w:numPr>
          <w:ilvl w:val="1"/>
          <w:numId w:val="32"/>
        </w:numPr>
      </w:pPr>
      <w:r>
        <w:rPr/>
        <w:t>Urgence diagnostique</w:t>
      </w:r>
      <w:r>
        <w:rPr/>
      </w:r>
      <w:r>
        <w:rPr/>
        <w:t xml:space="preserve"> et thérapeutique</w:t>
      </w:r>
      <w:r>
        <w:rPr/>
        <w:br/>
      </w:r>
    </w:p>
    <w:p>
      <w:pPr>
        <w:pStyle w:val="Heading4"/>
      </w:pPr>
      <w:r>
        <w:rPr/>
        <w:t>Gravité : double</w:t>
      </w:r>
    </w:p>
    <w:p>
      <w:pPr>
        <w:numPr>
          <w:ilvl w:val="1"/>
          <w:numId w:val="32"/>
        </w:numPr>
      </w:pPr>
      <w:r>
        <w:rPr>
          <w:b/>
        </w:rPr>
        <w:t>Pronostic vital engagé</w:t>
      </w:r>
      <w:r>
        <w:rPr/>
        <w:t xml:space="preserve">, mortalité élevée de 10 - 40% : </w:t>
      </w:r>
    </w:p>
    <w:p>
      <w:pPr>
        <w:numPr>
          <w:ilvl w:val="2"/>
          <w:numId w:val="32"/>
        </w:numPr>
      </w:pPr>
      <w:r>
        <w:rPr/>
        <w:t>Lésions parenchymateuses (dégâts par le pus)</w:t>
      </w:r>
    </w:p>
    <w:p>
      <w:pPr>
        <w:numPr>
          <w:ilvl w:val="2"/>
          <w:numId w:val="32"/>
        </w:numPr>
      </w:pPr>
      <w:r>
        <w:rPr/>
        <w:t>Etat de sepsis (infection microbienne)</w:t>
      </w:r>
    </w:p>
    <w:p>
      <w:pPr>
        <w:numPr>
          <w:ilvl w:val="1"/>
          <w:numId w:val="32"/>
        </w:numPr>
      </w:pPr>
      <w:r>
        <w:rPr>
          <w:b/>
        </w:rPr>
        <w:t xml:space="preserve">Pronostic fonctionnel engagé </w:t>
      </w:r>
      <w:r>
        <w:rPr/>
        <w:t xml:space="preserve">: </w:t>
      </w:r>
    </w:p>
    <w:p>
      <w:pPr>
        <w:numPr>
          <w:ilvl w:val="2"/>
          <w:numId w:val="32"/>
        </w:numPr>
      </w:pPr>
      <w:r>
        <w:rPr/>
        <w:t>Séquelles neurologiques déficitaires</w:t>
      </w:r>
    </w:p>
    <w:p>
      <w:pPr>
        <w:numPr>
          <w:ilvl w:val="2"/>
          <w:numId w:val="32"/>
        </w:numPr>
      </w:pPr>
      <w:r>
        <w:rPr/>
        <w:t>Épilepsie</w:t>
      </w:r>
      <w:r>
        <w:rPr/>
        <w:br/>
      </w:r>
    </w:p>
    <w:p>
      <w:pPr>
        <w:pStyle w:val="Heading4"/>
      </w:pPr>
      <w:r>
        <w:rPr/>
        <w:t>A différencier de :</w:t>
      </w:r>
    </w:p>
    <w:p>
      <w:pPr>
        <w:numPr>
          <w:ilvl w:val="1"/>
          <w:numId w:val="32"/>
        </w:numPr>
      </w:pPr>
      <w:r>
        <w:rPr/>
        <w:t xml:space="preserve">Méningite </w:t>
      </w:r>
      <w:r>
        <w:rPr>
          <w:i/>
        </w:rPr>
        <w:t>(infection du LCR/ méninge par des germes)</w:t>
      </w:r>
    </w:p>
    <w:p>
      <w:pPr>
        <w:numPr>
          <w:ilvl w:val="1"/>
          <w:numId w:val="32"/>
        </w:numPr>
      </w:pPr>
      <w:r>
        <w:rPr/>
        <w:t>Ventriculite</w:t>
      </w:r>
    </w:p>
    <w:p>
      <w:pPr>
        <w:numPr>
          <w:ilvl w:val="1"/>
          <w:numId w:val="32"/>
        </w:numPr>
      </w:pPr>
      <w:r>
        <w:rPr/>
        <w:t>Thrombophlébite</w:t>
      </w:r>
      <w:r>
        <w:rPr>
          <w:i/>
        </w:rPr>
        <w:t xml:space="preserve"> (diagnostic par scanner sans et avec injection)</w:t>
      </w:r>
    </w:p>
    <w:p>
      <w:pPr>
        <w:numPr>
          <w:ilvl w:val="1"/>
          <w:numId w:val="32"/>
        </w:numPr>
      </w:pPr>
      <w:r>
        <w:rPr/>
        <w:t xml:space="preserve">Encéphalite : </w:t>
      </w:r>
      <w:r>
        <w:rPr>
          <w:i/>
        </w:rPr>
        <w:t>infection du cerveau, virale+++ (scanner cérébrale avec injection)</w:t>
      </w:r>
      <w:r>
        <w:rPr/>
        <w:br/>
      </w:r>
      <w:r>
        <w:rPr/>
        <w:br/>
        <w:t>-&gt; Pas de collection purulente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GENERALITES</w:t>
      </w:r>
    </w:p>
    <w:p>
      <w:pPr>
        <w:pStyle w:val="Heading3"/>
      </w:pPr>
      <w:r>
        <w:rPr/>
        <w:t>PHYSIOPATHOLOGIE</w:t>
      </w:r>
    </w:p>
    <w:p>
      <w:pPr>
        <w:pStyle w:val="Heading4"/>
      </w:pPr>
      <w:r>
        <w:rPr/>
        <w:t>Mode de contamination :</w:t>
      </w:r>
    </w:p>
    <w:p>
      <w:pPr/>
      <w:r>
        <w:rPr>
          <w:b/>
        </w:rPr>
        <w:t xml:space="preserve">Contamination directe </w:t>
      </w:r>
      <w:r>
        <w:rPr/>
        <w:t>“post-opératoire et post-traumatique”</w:t>
      </w:r>
    </w:p>
    <w:p>
      <w:pPr>
        <w:numPr>
          <w:ilvl w:val="1"/>
          <w:numId w:val="32"/>
        </w:numPr>
      </w:pPr>
      <w:r>
        <w:rPr/>
        <w:t>Fracture de la base du crâne</w:t>
      </w:r>
      <w:r>
        <w:rPr/>
      </w:r>
      <w:r>
        <w:rPr/>
        <w:t>, rocher, sinus frontal, plaies crânio-cérébrales (</w:t>
      </w:r>
      <w:r>
        <w:rPr>
          <w:i/>
        </w:rPr>
        <w:t>issue de matière cérébrale en dehors du cuir chevelu)</w:t>
      </w:r>
    </w:p>
    <w:p>
      <w:pPr>
        <w:numPr>
          <w:ilvl w:val="1"/>
          <w:numId w:val="32"/>
        </w:numPr>
      </w:pPr>
      <w:r>
        <w:rPr/>
        <w:t>Après intervention neurochirurgicale</w:t>
      </w:r>
      <w:r>
        <w:rPr/>
        <w:br/>
      </w:r>
    </w:p>
    <w:p>
      <w:pPr/>
      <w:r>
        <w:rPr>
          <w:b/>
        </w:rPr>
        <w:t xml:space="preserve">Abcès par infection de </w:t>
      </w:r>
      <w:r>
        <w:rPr>
          <w:b/>
        </w:rPr>
        <w:t>voisinage “</w:t>
      </w:r>
      <w:r>
        <w:rPr>
          <w:b/>
        </w:rPr>
        <w:t xml:space="preserve">STOMATOLOGIQUE, OPHTALMOLOGIQUE” </w:t>
      </w:r>
      <w:r>
        <w:rPr/>
        <w:t>la plus fréquente :</w:t>
      </w:r>
    </w:p>
    <w:p>
      <w:pPr>
        <w:numPr>
          <w:ilvl w:val="1"/>
          <w:numId w:val="32"/>
        </w:numPr>
      </w:pPr>
      <w:r>
        <w:rPr>
          <w:b/>
        </w:rPr>
        <w:t xml:space="preserve">Sinusites </w:t>
      </w:r>
      <w:r>
        <w:rPr/>
        <w:t>: sinusite sphénoïdale, frontale, ethmoïdale</w:t>
      </w:r>
    </w:p>
    <w:p>
      <w:pPr>
        <w:numPr>
          <w:ilvl w:val="1"/>
          <w:numId w:val="32"/>
        </w:numPr>
      </w:pPr>
      <w:r>
        <w:rPr>
          <w:b/>
        </w:rPr>
        <w:t xml:space="preserve">Otites </w:t>
      </w:r>
      <w:r>
        <w:rPr/>
        <w:t>: otite moyenne +++</w:t>
      </w:r>
    </w:p>
    <w:p>
      <w:pPr>
        <w:numPr>
          <w:ilvl w:val="1"/>
          <w:numId w:val="32"/>
        </w:numPr>
      </w:pPr>
      <w:r>
        <w:rPr>
          <w:b/>
        </w:rPr>
        <w:t>Mastoïdites</w:t>
      </w:r>
    </w:p>
    <w:p>
      <w:pPr>
        <w:numPr>
          <w:ilvl w:val="1"/>
          <w:numId w:val="32"/>
        </w:numPr>
      </w:pPr>
      <w:r>
        <w:rPr>
          <w:b/>
        </w:rPr>
        <w:t>Cellulites de la face</w:t>
      </w:r>
      <w:r>
        <w:rPr/>
      </w:r>
      <w:r>
        <w:rPr>
          <w:b/>
        </w:rPr>
        <w:br/>
      </w:r>
    </w:p>
    <w:p>
      <w:pPr/>
      <w:r>
        <w:rPr/>
        <w:t xml:space="preserve">Voie </w:t>
      </w:r>
      <w:r>
        <w:rPr>
          <w:b/>
        </w:rPr>
        <w:t xml:space="preserve">hématogène </w:t>
      </w:r>
      <w:r>
        <w:rPr/>
        <w:t xml:space="preserve">ou </w:t>
      </w:r>
      <w:r>
        <w:rPr>
          <w:b/>
        </w:rPr>
        <w:t>abcès métastatiques</w:t>
      </w:r>
      <w:r>
        <w:rPr/>
        <w:t xml:space="preserve"> souvent multiple, par migration d’embole septique :</w:t>
      </w:r>
    </w:p>
    <w:p>
      <w:pPr>
        <w:numPr>
          <w:ilvl w:val="1"/>
          <w:numId w:val="32"/>
        </w:numPr>
      </w:pPr>
      <w:r>
        <w:rPr/>
        <w:t xml:space="preserve">Endocardite </w:t>
      </w:r>
    </w:p>
    <w:p>
      <w:pPr>
        <w:numPr>
          <w:ilvl w:val="1"/>
          <w:numId w:val="32"/>
        </w:numPr>
      </w:pPr>
      <w:r>
        <w:rPr/>
        <w:t xml:space="preserve">Septicémie </w:t>
      </w:r>
    </w:p>
    <w:p>
      <w:pPr>
        <w:numPr>
          <w:ilvl w:val="1"/>
          <w:numId w:val="32"/>
        </w:numPr>
      </w:pPr>
      <w:r>
        <w:rPr/>
        <w:t>Abcès poumon</w:t>
      </w:r>
    </w:p>
    <w:p>
      <w:pPr>
        <w:numPr>
          <w:ilvl w:val="1"/>
          <w:numId w:val="32"/>
        </w:numPr>
      </w:pPr>
      <w:r>
        <w:rPr/>
        <w:t>Infection cutanée ou digestive ou urinaire...</w:t>
      </w:r>
    </w:p>
    <w:p>
      <w:pPr>
        <w:numPr>
          <w:ilvl w:val="1"/>
          <w:numId w:val="32"/>
        </w:numPr>
      </w:pPr>
      <w:r>
        <w:rPr/>
        <w:t xml:space="preserve">Sans cause retrouvées : 20 - 40% des </w:t>
      </w:r>
      <w:r>
        <w:rPr>
          <w:b/>
        </w:rPr>
        <w:t>cas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18046700" cy="9359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46700" cy="935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DIAGNOSTIC</w:t>
      </w:r>
    </w:p>
    <w:p>
      <w:pPr/>
      <w:r>
        <w:rPr>
          <w:b/>
        </w:rPr>
        <w:t>DIAGNOSTIC POSITIF</w:t>
      </w:r>
    </w:p>
    <w:p>
      <w:pPr>
        <w:pStyle w:val="Heading3"/>
      </w:pPr>
      <w:r>
        <w:rPr/>
        <w:t>TDD : Abcès cérébral</w:t>
      </w:r>
    </w:p>
    <w:p>
      <w:pPr>
        <w:pStyle w:val="Heading4"/>
      </w:pPr>
      <w:r>
        <w:rPr/>
        <w:t xml:space="preserve">MODE DE </w:t>
      </w:r>
      <w:r>
        <w:rPr/>
        <w:t>DEBUT</w:t>
      </w:r>
      <w:r>
        <w:rPr/>
        <w:t xml:space="preserve"> :</w:t>
      </w:r>
    </w:p>
    <w:p>
      <w:pPr/>
      <w:r>
        <w:rPr/>
        <w:t xml:space="preserve">Céphalées ou </w:t>
      </w:r>
      <w:r>
        <w:rPr/>
        <w:t>HTIC</w:t>
      </w:r>
      <w:r>
        <w:rPr/>
      </w:r>
      <w:r>
        <w:rPr/>
        <w:t xml:space="preserve"> rapidement évolutives</w:t>
      </w:r>
    </w:p>
    <w:p>
      <w:pPr/>
      <w:r>
        <w:rPr/>
        <w:t>Parfois début insidieux et progressif : forme pseudo-tumorale avec déficit ou HTIC progressive, sans signes infectieux cliniques</w:t>
      </w:r>
    </w:p>
    <w:p>
      <w:pPr/>
      <w:r>
        <w:rPr/>
        <w:t>Coma d’emblée = mauvais pronostic</w:t>
      </w:r>
    </w:p>
    <w:p>
      <w:pPr>
        <w:pStyle w:val="Heading4"/>
      </w:pPr>
      <w:r>
        <w:rPr/>
        <w:t>PHASE D’ETAT :</w:t>
      </w:r>
    </w:p>
    <w:p>
      <w:pPr/>
      <w:r>
        <w:rPr/>
        <w:t>Polymorphes = fonction topographique, étiologie, terrain, virulence du germe (BMR), antibiothérapie antérieure</w:t>
      </w:r>
      <w:r>
        <w:rPr/>
        <w:br/>
      </w:r>
    </w:p>
    <w:p>
      <w:pPr/>
      <w:r>
        <w:rPr>
          <w:b/>
        </w:rPr>
        <w:t xml:space="preserve">Triade de BERGMAN </w:t>
      </w:r>
      <w:r>
        <w:rPr/>
        <w:t>très caractéristique mais rare : “</w:t>
      </w:r>
      <w:r>
        <w:rPr>
          <w:b/>
        </w:rPr>
        <w:t xml:space="preserve">HTIC + syndrome infectieux + signe de </w:t>
      </w:r>
      <w:r>
        <w:rPr>
          <w:b/>
        </w:rPr>
        <w:t>focalisation</w:t>
      </w:r>
      <w:r>
        <w:rPr/>
      </w:r>
      <w:r>
        <w:rPr>
          <w:b/>
        </w:rPr>
        <w:t>”</w:t>
      </w:r>
      <w:r>
        <w:rPr>
          <w:b/>
        </w:rPr>
        <w:br/>
      </w:r>
    </w:p>
    <w:p>
      <w:pPr/>
      <w:r>
        <w:rPr/>
        <w:t>Syndrome d’HTIC : constant, au 1er plan</w:t>
      </w:r>
    </w:p>
    <w:p>
      <w:pPr>
        <w:numPr>
          <w:ilvl w:val="1"/>
          <w:numId w:val="32"/>
        </w:numPr>
      </w:pPr>
      <w:r>
        <w:rPr/>
        <w:t>-&gt; FO souvent normal, ou oedème papillaire ou atrophie optique</w:t>
      </w:r>
      <w:r>
        <w:rPr/>
        <w:br/>
      </w:r>
    </w:p>
    <w:p>
      <w:pPr/>
      <w:r>
        <w:rPr/>
        <w:t>Epilepsie dans 50% des cas (</w:t>
      </w:r>
      <w:r>
        <w:rPr>
          <w:i/>
        </w:rPr>
        <w:t>temporal +++ : hippocampe se trouve au niveau temporal. Mais tout problème au niveau du cortex -&gt; épilepsie)</w:t>
      </w:r>
    </w:p>
    <w:p>
      <w:pPr/>
      <w:r>
        <w:rPr/>
        <w:t>Syndrome infectieux : inconstant 50% (décapité par les antibiotiques</w:t>
      </w:r>
      <w:r>
        <w:rPr/>
        <w:t>);</w:t>
      </w:r>
      <w:r>
        <w:rPr/>
        <w:t xml:space="preserve"> fièvre, amaigrissement, asthénie, altération de l’état général ou syndrome méningé ou méningo-encéphalite fébrile</w:t>
      </w:r>
    </w:p>
    <w:p>
      <w:pPr/>
      <w:r>
        <w:rPr/>
        <w:t>Syndrome neurologique topographique : valeur localisatrice. Déficit moteur ou sensitif, hémianopsie, aphasie</w:t>
      </w:r>
    </w:p>
    <w:p>
      <w:pPr/>
      <w:r>
        <w:rPr/>
        <w:t>Pseudo-accident vasculaire, coma</w:t>
      </w:r>
      <w:r>
        <w:rPr/>
        <w:br/>
      </w:r>
    </w:p>
    <w:p>
      <w:pPr>
        <w:pStyle w:val="Heading5"/>
      </w:pPr>
      <w:r>
        <w:rPr/>
        <w:t>Examens complémentaires :</w:t>
      </w:r>
    </w:p>
    <w:p>
      <w:pPr>
        <w:pStyle w:val="Heading6"/>
      </w:pPr>
      <w:r>
        <w:rPr/>
        <w:t>TDM sans et avec injection de produit de contraste +++ : “examen de choix”</w:t>
      </w:r>
    </w:p>
    <w:p>
      <w:pPr>
        <w:numPr>
          <w:ilvl w:val="2"/>
          <w:numId w:val="32"/>
        </w:numPr>
      </w:pPr>
      <w:r>
        <w:rPr/>
        <w:t>Hypodensité entourée d’une hyperdensité (capsule) plus ou moins arrondie</w:t>
      </w:r>
      <w:r>
        <w:rPr/>
      </w:r>
    </w:p>
    <w:p>
      <w:pPr>
        <w:numPr>
          <w:ilvl w:val="2"/>
          <w:numId w:val="32"/>
        </w:numPr>
      </w:pPr>
      <w:r>
        <w:rPr/>
        <w:t>Oedème (hypodensité) péri-lésionnel</w:t>
      </w:r>
    </w:p>
    <w:p>
      <w:pPr>
        <w:numPr>
          <w:ilvl w:val="2"/>
          <w:numId w:val="32"/>
        </w:numPr>
      </w:pPr>
      <w:r>
        <w:rPr/>
        <w:t>Rehaussement de la capsule par le produit de contraste</w:t>
      </w:r>
      <w:r>
        <w:rPr/>
        <w:br/>
      </w:r>
    </w:p>
    <w:p>
      <w:pPr>
        <w:pStyle w:val="Heading6"/>
      </w:pPr>
      <w:r>
        <w:rPr/>
        <w:t>IRM cérébrale :</w:t>
      </w:r>
      <w:r>
        <w:rPr/>
        <w:t xml:space="preserve"> lésions &lt; 0,5 cm, multiples</w:t>
      </w:r>
    </w:p>
    <w:p>
      <w:pPr>
        <w:numPr>
          <w:ilvl w:val="2"/>
          <w:numId w:val="32"/>
        </w:numPr>
      </w:pPr>
      <w:r>
        <w:rPr/>
        <w:t>T1</w:t>
      </w:r>
    </w:p>
    <w:p>
      <w:pPr>
        <w:numPr>
          <w:ilvl w:val="2"/>
          <w:numId w:val="32"/>
        </w:numPr>
      </w:pPr>
      <w:r>
        <w:rPr/>
        <w:t>T2</w:t>
      </w:r>
    </w:p>
    <w:p>
      <w:pPr>
        <w:numPr>
          <w:ilvl w:val="2"/>
          <w:numId w:val="32"/>
        </w:numPr>
      </w:pPr>
      <w:r>
        <w:rPr/>
        <w:t xml:space="preserve">Diffusion </w:t>
      </w: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14325600" cy="1163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0" cy="1163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Heading6"/>
      </w:pPr>
      <w:r>
        <w:rPr/>
        <w:t>Echographie transfontanellaire</w:t>
      </w:r>
      <w:r>
        <w:rPr/>
        <w:t xml:space="preserve"> </w:t>
      </w:r>
      <w:r>
        <w:rPr>
          <w:i/>
        </w:rPr>
        <w:t>(&lt;24 mois)</w:t>
      </w:r>
      <w:r>
        <w:rPr/>
        <w:t xml:space="preserve"> : </w:t>
      </w:r>
    </w:p>
    <w:p>
      <w:pPr>
        <w:numPr>
          <w:ilvl w:val="1"/>
          <w:numId w:val="32"/>
        </w:numPr>
      </w:pPr>
      <w:r>
        <w:rPr/>
        <w:t>Nourrisson</w:t>
      </w:r>
      <w:r>
        <w:rPr/>
        <w:t xml:space="preserve"> à </w:t>
      </w:r>
      <w:r>
        <w:rPr/>
        <w:t>fontanelle</w:t>
      </w:r>
      <w:r>
        <w:rPr/>
        <w:t xml:space="preserve"> ouverte. Lésion hypoéchogène entrourée d’une coque hyperéchogène</w:t>
      </w:r>
      <w:r>
        <w:rPr/>
        <w:br/>
      </w:r>
    </w:p>
    <w:p>
      <w:pPr>
        <w:pStyle w:val="Heading6"/>
      </w:pPr>
      <w:r>
        <w:rPr/>
        <w:t>Electro-encéphalographie (EEG)</w:t>
      </w:r>
    </w:p>
    <w:p>
      <w:pPr>
        <w:numPr>
          <w:ilvl w:val="2"/>
          <w:numId w:val="32"/>
        </w:numPr>
      </w:pPr>
      <w:r>
        <w:rPr/>
        <w:t>Diagnostic et surveillance de l’épilepsie</w:t>
      </w:r>
    </w:p>
    <w:p>
      <w:pPr>
        <w:numPr>
          <w:ilvl w:val="2"/>
          <w:numId w:val="32"/>
        </w:numPr>
      </w:pPr>
      <w:r>
        <w:rPr/>
        <w:t>Valeur localisatrice 50% (activité delta localisée)</w:t>
      </w:r>
    </w:p>
    <w:p>
      <w:pPr>
        <w:pStyle w:val="Heading3"/>
      </w:pPr>
      <w:r>
        <w:rPr/>
        <w:t xml:space="preserve">Empyèmes sous et extra-duraux </w:t>
      </w:r>
    </w:p>
    <w:p>
      <w:pPr/>
      <w:r>
        <w:rPr/>
        <w:t>Tableaux cliniques : très bruyant</w:t>
      </w:r>
    </w:p>
    <w:p>
      <w:pPr>
        <w:numPr>
          <w:ilvl w:val="1"/>
          <w:numId w:val="32"/>
        </w:numPr>
      </w:pPr>
      <w:r>
        <w:rPr/>
        <w:t>Syndrome infectieux +++, oedème sus-orbitaire</w:t>
      </w:r>
    </w:p>
    <w:p>
      <w:pPr>
        <w:numPr>
          <w:ilvl w:val="1"/>
          <w:numId w:val="32"/>
        </w:numPr>
      </w:pPr>
      <w:r>
        <w:rPr/>
        <w:t>Signes neurologiques +++ : déficit neurologique, crises épileptiques, trouble de conscience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>
          <w:b/>
        </w:rPr>
        <w:t>POINTS FORTS :</w:t>
      </w:r>
    </w:p>
    <w:p>
      <w:pPr>
        <w:numPr>
          <w:ilvl w:val="0"/>
          <w:numId w:val="39"/>
        </w:numPr>
      </w:pPr>
      <w:r>
        <w:rPr/>
        <w:t xml:space="preserve">Absence fréquente de fièvre en cas d’abcès </w:t>
      </w:r>
      <w:r>
        <w:rPr>
          <w:i/>
        </w:rPr>
        <w:t>(insidieux)</w:t>
      </w:r>
    </w:p>
    <w:p>
      <w:pPr>
        <w:numPr>
          <w:ilvl w:val="0"/>
          <w:numId w:val="39"/>
        </w:numPr>
      </w:pPr>
      <w:r>
        <w:rPr/>
        <w:t>Symptomatologies très bruyantes des empyèmes :</w:t>
      </w:r>
    </w:p>
    <w:p>
      <w:pPr>
        <w:numPr>
          <w:ilvl w:val="1"/>
          <w:numId w:val="39"/>
        </w:numPr>
      </w:pPr>
      <w:r>
        <w:rPr/>
        <w:t>Fièvre +++, épilepsie +++, trouble de la vigilance +++</w:t>
      </w:r>
    </w:p>
    <w:p>
      <w:pPr>
        <w:numPr>
          <w:ilvl w:val="0"/>
          <w:numId w:val="39"/>
        </w:numPr>
      </w:pPr>
      <w:r>
        <w:rPr/>
        <w:t>Dans tous les cas, ne pas oublier de rechercher et d’examiner les portes d’entrées</w:t>
      </w:r>
    </w:p>
    <w:p>
      <w:pPr>
        <w:pStyle w:val="Heading3"/>
        <w:numPr>
          <w:ilvl w:val="0"/>
          <w:numId w:val="0"/>
        </w:numPr>
      </w:pPr>
    </w:p>
    <w:p>
      <w:pPr>
        <w:pStyle w:val="Heading3"/>
      </w:pPr>
      <w:r>
        <w:rPr/>
        <w:t>DIAGNOSTIC ETIOLOGIQUE</w:t>
      </w:r>
    </w:p>
    <w:p>
      <w:pPr/>
      <w:r>
        <w:rPr/>
        <w:t>Terrain : enfant et sujet jeune +++, prédominance masculine</w:t>
      </w:r>
    </w:p>
    <w:p>
      <w:pPr/>
      <w:r>
        <w:rPr/>
        <w:t>Facteurs favorisants : “pathologie des pays pauvres”</w:t>
      </w:r>
    </w:p>
    <w:p>
      <w:pPr>
        <w:numPr>
          <w:ilvl w:val="1"/>
          <w:numId w:val="32"/>
        </w:numPr>
      </w:pPr>
      <w:r>
        <w:rPr/>
        <w:t>Terrain immunodéprimé : SIDA, corticothérapie, cancer, ...</w:t>
      </w:r>
    </w:p>
    <w:p>
      <w:pPr>
        <w:numPr>
          <w:ilvl w:val="1"/>
          <w:numId w:val="32"/>
        </w:numPr>
      </w:pPr>
      <w:r>
        <w:rPr/>
        <w:t>Bas niveau socio-économique</w:t>
      </w:r>
    </w:p>
    <w:p>
      <w:pPr>
        <w:numPr>
          <w:ilvl w:val="1"/>
          <w:numId w:val="32"/>
        </w:numPr>
      </w:pPr>
      <w:r>
        <w:rPr/>
        <w:t>Hygiène corporel, buccodentaire et ORL défectueux</w:t>
      </w:r>
      <w:r>
        <w:rPr/>
        <w:br/>
      </w:r>
    </w:p>
    <w:p>
      <w:pPr/>
      <w:r>
        <w:rPr/>
        <w:t xml:space="preserve">Bactériologie : </w:t>
      </w:r>
      <w:r>
        <w:rPr>
          <w:b/>
        </w:rPr>
        <w:t>germe ORL +++</w:t>
      </w:r>
    </w:p>
    <w:p>
      <w:pPr>
        <w:numPr>
          <w:ilvl w:val="1"/>
          <w:numId w:val="32"/>
        </w:numPr>
      </w:pPr>
      <w:r>
        <w:rPr/>
        <w:t xml:space="preserve">Tous les germes : staphylocoque, streptocoque, pneumocoque, haemophilus, escherischia </w:t>
      </w:r>
      <w:r>
        <w:rPr/>
        <w:t>coli</w:t>
      </w:r>
      <w:r>
        <w:rPr/>
        <w:t>, germes anaérobies</w:t>
      </w:r>
    </w:p>
    <w:p>
      <w:pPr>
        <w:numPr>
          <w:ilvl w:val="1"/>
          <w:numId w:val="32"/>
        </w:numPr>
      </w:pPr>
      <w:r>
        <w:rPr/>
        <w:t>Proteus chez l’enfant</w:t>
      </w:r>
    </w:p>
    <w:p>
      <w:pPr>
        <w:numPr>
          <w:ilvl w:val="1"/>
          <w:numId w:val="32"/>
        </w:numPr>
      </w:pPr>
      <w:r>
        <w:rPr/>
        <w:t>Polymicrobienne dans 50% des cas</w:t>
      </w:r>
    </w:p>
    <w:p>
      <w:pPr>
        <w:numPr>
          <w:ilvl w:val="1"/>
          <w:numId w:val="32"/>
        </w:numPr>
      </w:pPr>
      <w:r>
        <w:rPr/>
        <w:t>Pus stérile dans 20 - 25% des cas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 :</w:t>
      </w:r>
    </w:p>
    <w:p>
      <w:pPr/>
      <w:r>
        <w:rPr/>
        <w:t>Evacuer la collection (abcès ou empyème) pour traiter l’HTIC = chirurgie</w:t>
      </w:r>
    </w:p>
    <w:p>
      <w:pPr/>
      <w:r>
        <w:rPr/>
        <w:t>Isoler le germe et stériliser le foyer infectieux par les antibiotiques = Traitement médical</w:t>
      </w:r>
    </w:p>
    <w:p>
      <w:pPr/>
      <w:r>
        <w:rPr/>
        <w:t>Traiter la porte d’entrée pour éviter la récidive = Tratement médico-chirurgical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MOYENS</w:t>
      </w:r>
    </w:p>
    <w:p>
      <w:pPr>
        <w:pStyle w:val="Heading4"/>
      </w:pPr>
      <w:r>
        <w:rPr/>
        <w:t>Traitement médical</w:t>
      </w:r>
    </w:p>
    <w:p>
      <w:pPr>
        <w:pStyle w:val="Heading5"/>
      </w:pPr>
      <w:r>
        <w:rPr/>
        <w:t xml:space="preserve">Antibiothérapie </w:t>
      </w:r>
    </w:p>
    <w:p>
      <w:pPr>
        <w:pStyle w:val="Heading6"/>
      </w:pPr>
      <w:r>
        <w:rPr/>
        <w:t>“Règles de prescription de l’antibiothérapie” :</w:t>
      </w:r>
    </w:p>
    <w:p>
      <w:pPr>
        <w:numPr>
          <w:ilvl w:val="1"/>
          <w:numId w:val="32"/>
        </w:numPr>
      </w:pPr>
      <w:r>
        <w:rPr>
          <w:u w:val="single"/>
        </w:rPr>
        <w:t xml:space="preserve">C3G + métronidazole + aminoside </w:t>
      </w:r>
      <w:r>
        <w:rPr/>
        <w:t>(</w:t>
      </w:r>
      <w:r>
        <w:rPr>
          <w:i/>
        </w:rPr>
        <w:t>ceftriaxone - flagyl - gentamycine)</w:t>
      </w:r>
    </w:p>
    <w:p>
      <w:pPr>
        <w:numPr>
          <w:ilvl w:val="1"/>
          <w:numId w:val="32"/>
        </w:numPr>
      </w:pPr>
      <w:r>
        <w:rPr/>
        <w:t>C3G + vancomycine</w:t>
      </w:r>
    </w:p>
    <w:p>
      <w:pPr>
        <w:numPr>
          <w:ilvl w:val="1"/>
          <w:numId w:val="32"/>
        </w:numPr>
      </w:pPr>
      <w:r>
        <w:rPr/>
        <w:t xml:space="preserve">Relais par </w:t>
      </w:r>
      <w:r>
        <w:rPr/>
        <w:t>bactrim</w:t>
      </w:r>
      <w:r>
        <w:rPr/>
        <w:t xml:space="preserve"> ou quinolone</w:t>
      </w:r>
    </w:p>
    <w:p>
      <w:pPr>
        <w:pStyle w:val="Heading6"/>
      </w:pPr>
      <w:r>
        <w:rPr/>
        <w:t>Adapter l’antibiothérapie après examen bactériologique et antibiogramme</w:t>
      </w:r>
    </w:p>
    <w:p>
      <w:pPr/>
      <w:r>
        <w:rPr/>
        <w:t xml:space="preserve">Utiliser l’antibiotique en </w:t>
      </w:r>
      <w:r>
        <w:rPr>
          <w:b/>
        </w:rPr>
        <w:t>association :</w:t>
      </w:r>
      <w:r>
        <w:rPr/>
        <w:t xml:space="preserve"> au moins 2 antibiothérapies</w:t>
      </w:r>
    </w:p>
    <w:p>
      <w:pPr/>
      <w:r>
        <w:rPr/>
        <w:t xml:space="preserve">Débuter le traitement en </w:t>
      </w:r>
      <w:r>
        <w:rPr>
          <w:b/>
        </w:rPr>
        <w:t>parentérale</w:t>
      </w:r>
      <w:r>
        <w:rPr/>
        <w:t xml:space="preserve"> et prendre le relais secondaire en per os</w:t>
      </w:r>
    </w:p>
    <w:p>
      <w:pPr/>
      <w:r>
        <w:rPr/>
        <w:t>Utiliser l’antibiothérapie le plus longtemps possible</w:t>
      </w:r>
    </w:p>
    <w:p>
      <w:pPr>
        <w:numPr>
          <w:ilvl w:val="1"/>
          <w:numId w:val="32"/>
        </w:numPr>
      </w:pPr>
      <w:r>
        <w:rPr/>
        <w:t xml:space="preserve">Durée du traitement parentéral : </w:t>
      </w:r>
      <w:r>
        <w:rPr>
          <w:b/>
        </w:rPr>
        <w:t>6 - 8 semaines</w:t>
      </w:r>
    </w:p>
    <w:p>
      <w:pPr>
        <w:numPr>
          <w:ilvl w:val="1"/>
          <w:numId w:val="32"/>
        </w:numPr>
      </w:pPr>
      <w:r>
        <w:rPr/>
        <w:t>Relais par voie orale : 2 - 3 mois</w:t>
      </w:r>
    </w:p>
    <w:p>
      <w:pPr>
        <w:numPr>
          <w:ilvl w:val="1"/>
          <w:numId w:val="32"/>
        </w:numPr>
      </w:pPr>
      <w:r>
        <w:rPr/>
        <w:t xml:space="preserve">Durée raccourcie de 2 - 3 semaines si chirurgie 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Traitement médical adjuvant</w:t>
      </w:r>
    </w:p>
    <w:p>
      <w:pPr/>
      <w:r>
        <w:rPr/>
        <w:t xml:space="preserve">Anti-oedémateux (mannitol et </w:t>
      </w:r>
      <w:r>
        <w:rPr/>
        <w:t>corticoïde</w:t>
      </w:r>
      <w:r>
        <w:rPr/>
      </w:r>
      <w:r>
        <w:rPr/>
        <w:t>)</w:t>
      </w:r>
    </w:p>
    <w:p>
      <w:pPr/>
      <w:r>
        <w:rPr/>
        <w:t xml:space="preserve">Antiépileptiques </w:t>
      </w:r>
    </w:p>
    <w:p>
      <w:pPr/>
      <w:r>
        <w:rPr/>
        <w:t xml:space="preserve">Mesures de réanimation si nécessaire </w:t>
      </w:r>
    </w:p>
    <w:p>
      <w:pPr/>
      <w:r>
        <w:rPr/>
        <w:t>Traitements symptomatiques</w:t>
      </w:r>
    </w:p>
    <w:p>
      <w:pPr>
        <w:pStyle w:val="Heading5"/>
      </w:pPr>
      <w:r>
        <w:rPr/>
        <w:t xml:space="preserve">Traitement de la porte d’entrée +++ </w:t>
      </w:r>
    </w:p>
    <w:p>
      <w:pPr>
        <w:pStyle w:val="Heading4"/>
      </w:pPr>
      <w:r>
        <w:rPr/>
        <w:t>Traitement chirurgical</w:t>
      </w:r>
      <w:r>
        <w:rPr/>
      </w:r>
    </w:p>
    <w:p>
      <w:pPr/>
      <w:r>
        <w:rPr/>
        <w:t>But : évacuer le pus, identifier le germe</w:t>
      </w:r>
    </w:p>
    <w:p>
      <w:pPr/>
      <w:r>
        <w:rPr>
          <w:b/>
        </w:rPr>
        <w:t>Méthodes chirurgicales :</w:t>
      </w:r>
    </w:p>
    <w:p>
      <w:pPr>
        <w:numPr>
          <w:ilvl w:val="1"/>
          <w:numId w:val="32"/>
        </w:numPr>
      </w:pPr>
      <w:r>
        <w:rPr/>
        <w:t>Aspiration par trépano-ponction</w:t>
      </w:r>
    </w:p>
    <w:p>
      <w:pPr>
        <w:numPr>
          <w:ilvl w:val="1"/>
          <w:numId w:val="32"/>
        </w:numPr>
      </w:pPr>
      <w:r>
        <w:rPr/>
        <w:t>Ponction stéréotaxique</w:t>
      </w:r>
    </w:p>
    <w:p>
      <w:pPr>
        <w:numPr>
          <w:ilvl w:val="1"/>
          <w:numId w:val="32"/>
        </w:numPr>
      </w:pPr>
      <w:r>
        <w:rPr/>
        <w:t>Exérèse en masse de l’abcès et de la coque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INDICATIONS</w:t>
      </w:r>
    </w:p>
    <w:p>
      <w:pPr>
        <w:pStyle w:val="Heading4"/>
      </w:pPr>
      <w:r>
        <w:rPr/>
        <w:t>Traitement préventif :</w:t>
      </w:r>
    </w:p>
    <w:p>
      <w:pPr>
        <w:numPr>
          <w:ilvl w:val="1"/>
          <w:numId w:val="32"/>
        </w:numPr>
      </w:pPr>
      <w:r>
        <w:rPr/>
        <w:t xml:space="preserve">Eviction des facteurs de risque </w:t>
      </w:r>
    </w:p>
    <w:p>
      <w:pPr>
        <w:numPr>
          <w:ilvl w:val="1"/>
          <w:numId w:val="32"/>
        </w:numPr>
      </w:pPr>
      <w:r>
        <w:rPr/>
        <w:t>Traitement de la porte d’entrée (surtout ORL)</w:t>
      </w:r>
      <w:r>
        <w:rPr/>
        <w:br/>
      </w:r>
    </w:p>
    <w:p>
      <w:pPr>
        <w:pStyle w:val="Heading4"/>
      </w:pPr>
      <w:r>
        <w:rPr/>
        <w:t>Traitement curatif :</w:t>
      </w:r>
    </w:p>
    <w:p>
      <w:pPr>
        <w:numPr>
          <w:ilvl w:val="1"/>
          <w:numId w:val="32"/>
        </w:numPr>
      </w:pPr>
      <w:r>
        <w:rPr/>
        <w:t>Chirurgie</w:t>
      </w:r>
    </w:p>
    <w:p>
      <w:pPr>
        <w:numPr>
          <w:ilvl w:val="1"/>
          <w:numId w:val="32"/>
        </w:numPr>
      </w:pPr>
      <w:r>
        <w:rPr/>
        <w:t xml:space="preserve">Antibiothérapie </w:t>
      </w:r>
    </w:p>
    <w:p>
      <w:pPr>
        <w:numPr>
          <w:ilvl w:val="1"/>
          <w:numId w:val="32"/>
        </w:numPr>
      </w:pPr>
      <w:r>
        <w:rPr/>
        <w:t>Traitement de la porte d’entrée</w:t>
      </w:r>
    </w:p>
    <w:p>
      <w:pPr/>
      <w:r>
        <w:rPr>
          <w:b/>
        </w:rPr>
        <w:t xml:space="preserve">Ponction stéréotaxique : </w:t>
      </w:r>
      <w:r>
        <w:rPr/>
        <w:t>zone profonde ou fonctionnelle, mauvais état général</w:t>
      </w:r>
    </w:p>
    <w:p>
      <w:pPr/>
      <w:r>
        <w:rPr>
          <w:b/>
        </w:rPr>
        <w:t xml:space="preserve">Exérèse en masse </w:t>
      </w:r>
      <w:r>
        <w:rPr/>
        <w:t>de l’abcès et de la coque, ou aspiration : zone accessible et superficielle</w:t>
      </w:r>
    </w:p>
    <w:p>
      <w:pPr/>
      <w:r>
        <w:rPr>
          <w:b/>
        </w:rPr>
        <w:t xml:space="preserve">Abstention : </w:t>
      </w:r>
      <w:r>
        <w:rPr/>
        <w:t>abcès multiples et/ou de petites tailles</w:t>
      </w:r>
    </w:p>
    <w:p>
      <w:pPr/>
      <w:r>
        <w:rPr>
          <w:b/>
        </w:rPr>
        <w:t>Traitement symptomatique :</w:t>
      </w:r>
      <w:r>
        <w:rPr/>
        <w:t xml:space="preserve"> traitement médical adjuvant</w:t>
      </w:r>
    </w:p>
    <w:p>
      <w:pPr>
        <w:pStyle w:val="Heading3"/>
      </w:pPr>
      <w:r>
        <w:rPr/>
        <w:t>CRITERES DE GUERISON</w:t>
      </w:r>
    </w:p>
    <w:p>
      <w:pPr/>
      <w:r>
        <w:rPr/>
        <w:t>Clinique : apyrexie, état neurologique stable</w:t>
      </w:r>
    </w:p>
    <w:p>
      <w:pPr/>
      <w:r>
        <w:rPr/>
        <w:t>Biologique : normalisation VS, CRP, NFS (si perturbé)</w:t>
      </w:r>
    </w:p>
    <w:p>
      <w:pPr/>
      <w:r>
        <w:rPr/>
        <w:t>Imagerie : abcès “normal ou stabilisé” + amélioration de l’effet de masse</w:t>
      </w:r>
    </w:p>
    <w:p>
      <w:pPr>
        <w:pStyle w:val="Heading2"/>
      </w:pPr>
      <w:r>
        <w:rPr/>
        <w:t>CONCLUSION</w:t>
      </w:r>
    </w:p>
    <w:p>
      <w:pPr/>
      <w:r>
        <w:rPr/>
        <w:t>Pathologie neurochirurgicale grave, mortalité élevée</w:t>
      </w:r>
    </w:p>
    <w:p>
      <w:pPr/>
      <w:r>
        <w:rPr/>
        <w:t>Deux groupes : abcès (insidieux) et empyème</w:t>
      </w:r>
    </w:p>
    <w:p>
      <w:pPr/>
      <w:r>
        <w:rPr/>
        <w:t>Prise en charge urgente et adéquate</w:t>
      </w:r>
    </w:p>
    <w:p>
      <w:pPr/>
      <w:r>
        <w:rPr/>
        <w:t>Traitement médicochirurgical : chirurgie et antibiothérapie</w:t>
      </w:r>
    </w:p>
    <w:p>
      <w:pPr/>
      <w:r>
        <w:rPr/>
        <w:t>Séquelles neurologiques possibles : épilepsie, déficit</w:t>
      </w:r>
    </w:p>
    <w:p>
      <w:pPr/>
      <w:r>
        <w:rPr/>
        <w:t>Traitement préventif +++ : traitement adéquat des otites, sinusites (infections ORL, ophtalmologiques, stomatologiques) et des autres portes d’entrées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