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AUTRES CAUSES DE VERTIGES</w:t>
      </w:r>
    </w:p>
    <w:p>
      <w:pPr>
        <w:pStyle w:val="Heading2"/>
      </w:pPr>
      <w:r>
        <w:rPr/>
        <w:t>CAUSES TRAUMATIQUES :</w:t>
      </w:r>
    </w:p>
    <w:p>
      <w:pPr>
        <w:numPr>
          <w:ilvl w:val="0"/>
          <w:numId w:val="72"/>
        </w:numPr>
      </w:pPr>
      <w:r>
        <w:rPr/>
        <w:t>Fracture du Rocher (traité)</w:t>
      </w:r>
    </w:p>
    <w:p>
      <w:pPr>
        <w:numPr>
          <w:ilvl w:val="0"/>
          <w:numId w:val="72"/>
        </w:numPr>
      </w:pPr>
      <w:r>
        <w:rPr/>
        <w:t>Commotion labyrinthique</w:t>
      </w:r>
    </w:p>
    <w:p>
      <w:pPr>
        <w:numPr>
          <w:ilvl w:val="0"/>
          <w:numId w:val="73"/>
        </w:numPr>
      </w:pPr>
      <w:r>
        <w:rPr/>
        <w:t>Fistule périlymphatique</w:t>
      </w:r>
    </w:p>
    <w:p>
      <w:pPr>
        <w:numPr>
          <w:ilvl w:val="0"/>
          <w:numId w:val="70"/>
        </w:numPr>
      </w:pPr>
      <w:r>
        <w:rPr/>
        <w:t>Communication anormale entre le compartiment liquidien de l’oreille interne et de l’oreille moyenne</w:t>
      </w:r>
    </w:p>
    <w:p>
      <w:pPr>
        <w:numPr>
          <w:ilvl w:val="0"/>
          <w:numId w:val="70"/>
        </w:numPr>
      </w:pPr>
      <w:r>
        <w:rPr>
          <w:b/>
        </w:rPr>
        <w:t>Cliniquement :</w:t>
      </w:r>
    </w:p>
    <w:p>
      <w:pPr>
        <w:numPr>
          <w:ilvl w:val="1"/>
          <w:numId w:val="70"/>
        </w:numPr>
      </w:pPr>
      <w:r>
        <w:rPr/>
        <w:t>Vertige et instabilité déclenchés par les changements de positions, par les variations de pression, par des sons forts</w:t>
      </w:r>
    </w:p>
    <w:p>
      <w:pPr>
        <w:numPr>
          <w:ilvl w:val="1"/>
          <w:numId w:val="70"/>
        </w:numPr>
      </w:pPr>
      <w:r>
        <w:rPr/>
        <w:t>Associée à une surdité fluctuante et à des signes de fistule</w:t>
      </w:r>
    </w:p>
    <w:p>
      <w:pPr/>
    </w:p>
    <w:p>
      <w:pPr>
        <w:pStyle w:val="Heading2"/>
      </w:pPr>
      <w:r>
        <w:rPr/>
        <w:t>CAUSES TOXIQUES</w:t>
      </w:r>
    </w:p>
    <w:p>
      <w:pPr>
        <w:pStyle w:val="Heading3"/>
      </w:pPr>
      <w:r>
        <w:rPr/>
        <w:t>Prise de médicaments ototoxiques</w:t>
      </w:r>
    </w:p>
    <w:p>
      <w:pPr>
        <w:numPr>
          <w:ilvl w:val="0"/>
          <w:numId w:val="71"/>
        </w:numPr>
      </w:pPr>
      <w:r>
        <w:rPr/>
        <w:t>Aminosides</w:t>
      </w:r>
    </w:p>
    <w:p>
      <w:pPr>
        <w:numPr>
          <w:ilvl w:val="0"/>
          <w:numId w:val="71"/>
        </w:numPr>
      </w:pPr>
      <w:r>
        <w:rPr/>
        <w:t>Antituberculeux</w:t>
      </w:r>
    </w:p>
    <w:p>
      <w:pPr>
        <w:numPr>
          <w:ilvl w:val="0"/>
          <w:numId w:val="71"/>
        </w:numPr>
      </w:pPr>
      <w:r>
        <w:rPr/>
        <w:t xml:space="preserve">Chimiothérapie </w:t>
      </w:r>
    </w:p>
    <w:p>
      <w:pPr>
        <w:numPr>
          <w:ilvl w:val="0"/>
          <w:numId w:val="71"/>
        </w:numPr>
      </w:pPr>
      <w:r>
        <w:rPr/>
        <w:t>Quinine</w:t>
      </w:r>
    </w:p>
    <w:p>
      <w:pPr/>
    </w:p>
    <w:p>
      <w:pPr/>
      <w:r>
        <w:rPr>
          <w:b/>
        </w:rPr>
        <w:t>QE</w:t>
      </w:r>
      <w:r>
        <w:rPr/>
      </w:r>
      <w:r>
        <w:rPr>
          <w:b/>
        </w:rPr>
        <w:t xml:space="preserve"> Dr Gino : Examen otoscopique ++++ </w:t>
      </w:r>
    </w:p>
    <w:p>
      <w:pPr>
        <w:numPr>
          <w:ilvl w:val="0"/>
          <w:numId w:val="75"/>
        </w:numPr>
      </w:pPr>
      <w:r>
        <w:rPr>
          <w:b/>
        </w:rPr>
        <w:t>Résultats d’examens otoscopiques d’une otite moyenne, séro-muqueuse</w:t>
      </w:r>
    </w:p>
    <w:p>
      <w:pPr>
        <w:numPr>
          <w:ilvl w:val="0"/>
          <w:numId w:val="74"/>
        </w:numPr>
      </w:pPr>
      <w:r>
        <w:rPr>
          <w:b/>
        </w:rPr>
        <w:t>Différence entre l’otite externe et l’otite moyenne(cliniquement)</w:t>
      </w:r>
    </w:p>
    <w:p>
      <w:pPr>
        <w:spacing w:after="200"/>
      </w:pPr>
      <w:r>
        <w:rPr>
          <w:b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